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55413232" w:rsidR="00863D99" w:rsidRDefault="00CD089E" w:rsidP="008B58EA">
            <w:pPr>
              <w:jc w:val="center"/>
              <w:rPr>
                <w:rFonts w:asciiTheme="majorHAnsi" w:hAnsiTheme="majorHAnsi" w:cs="Arial"/>
                <w:b/>
                <w:color w:val="FFFFFF" w:themeColor="background1"/>
                <w:sz w:val="26"/>
                <w:szCs w:val="26"/>
              </w:rPr>
            </w:pPr>
            <w:r>
              <w:rPr>
                <w:rFonts w:asciiTheme="majorHAnsi" w:hAnsiTheme="majorHAnsi" w:cs="Arial"/>
                <w:b/>
                <w:color w:val="000000" w:themeColor="text1"/>
                <w:sz w:val="28"/>
                <w:szCs w:val="28"/>
              </w:rPr>
              <w:t xml:space="preserve">Year </w:t>
            </w:r>
            <w:r w:rsidR="00FF1F6F">
              <w:rPr>
                <w:rFonts w:asciiTheme="majorHAnsi" w:hAnsiTheme="majorHAnsi" w:cs="Arial"/>
                <w:b/>
                <w:color w:val="000000" w:themeColor="text1"/>
                <w:sz w:val="28"/>
                <w:szCs w:val="28"/>
              </w:rPr>
              <w:t>11</w:t>
            </w:r>
            <w:r w:rsidR="00863D99" w:rsidRPr="0014633F">
              <w:rPr>
                <w:rFonts w:asciiTheme="majorHAnsi" w:hAnsiTheme="majorHAnsi" w:cs="Arial"/>
                <w:b/>
                <w:color w:val="000000" w:themeColor="text1"/>
                <w:sz w:val="28"/>
                <w:szCs w:val="28"/>
              </w:rPr>
              <w:t xml:space="preserve"> CURRICULUM </w:t>
            </w:r>
            <w:proofErr w:type="gramStart"/>
            <w:r w:rsidR="00863D99" w:rsidRPr="0014633F">
              <w:rPr>
                <w:rFonts w:asciiTheme="majorHAnsi" w:hAnsiTheme="majorHAnsi" w:cs="Arial"/>
                <w:b/>
                <w:color w:val="000000" w:themeColor="text1"/>
                <w:sz w:val="28"/>
                <w:szCs w:val="28"/>
              </w:rPr>
              <w:t>MAP</w:t>
            </w:r>
            <w:r w:rsidR="00E40919">
              <w:rPr>
                <w:rFonts w:asciiTheme="majorHAnsi" w:hAnsiTheme="majorHAnsi" w:cs="Arial"/>
                <w:b/>
                <w:color w:val="000000" w:themeColor="text1"/>
                <w:sz w:val="28"/>
                <w:szCs w:val="28"/>
              </w:rPr>
              <w:t xml:space="preserve"> :</w:t>
            </w:r>
            <w:proofErr w:type="gramEnd"/>
            <w:r w:rsidR="00E40919">
              <w:rPr>
                <w:rFonts w:asciiTheme="majorHAnsi" w:hAnsiTheme="majorHAnsi" w:cs="Arial"/>
                <w:b/>
                <w:color w:val="000000" w:themeColor="text1"/>
                <w:sz w:val="28"/>
                <w:szCs w:val="28"/>
              </w:rPr>
              <w:t xml:space="preserve"> </w:t>
            </w:r>
            <w:r w:rsidR="008B58EA">
              <w:rPr>
                <w:rFonts w:asciiTheme="majorHAnsi" w:hAnsiTheme="majorHAnsi" w:cs="Arial"/>
                <w:b/>
                <w:color w:val="000000" w:themeColor="text1"/>
                <w:sz w:val="28"/>
                <w:szCs w:val="28"/>
              </w:rPr>
              <w:t>History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72424522"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One  </w:t>
            </w:r>
          </w:p>
        </w:tc>
        <w:tc>
          <w:tcPr>
            <w:tcW w:w="4262" w:type="dxa"/>
          </w:tcPr>
          <w:p w14:paraId="61470EF7" w14:textId="3CF8EBEB"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Two </w:t>
            </w:r>
            <w:r w:rsidR="008B58EA">
              <w:rPr>
                <w:rFonts w:asciiTheme="majorHAnsi" w:hAnsiTheme="majorHAnsi" w:cstheme="majorHAnsi"/>
                <w:b/>
                <w:bCs/>
              </w:rPr>
              <w:t xml:space="preserve"> </w:t>
            </w:r>
          </w:p>
        </w:tc>
        <w:tc>
          <w:tcPr>
            <w:tcW w:w="4263" w:type="dxa"/>
          </w:tcPr>
          <w:p w14:paraId="26EA3587" w14:textId="4F4692C8" w:rsidR="00B76F77"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Three </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60735518"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Analyse and Evaluate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2ABF3228"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786CFC73"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62967360" w14:textId="77777777" w:rsidR="00CD089E" w:rsidRDefault="00CD089E" w:rsidP="00CD089E">
            <w:pPr>
              <w:rPr>
                <w:rFonts w:asciiTheme="majorHAnsi" w:eastAsia="Times New Roman" w:hAnsiTheme="majorHAnsi" w:cs="Arial"/>
                <w:b/>
                <w:sz w:val="21"/>
                <w:szCs w:val="21"/>
                <w:u w:val="single"/>
                <w:lang w:eastAsia="en-GB"/>
              </w:rPr>
            </w:pPr>
            <w:r>
              <w:rPr>
                <w:rFonts w:asciiTheme="majorHAnsi" w:eastAsia="Times New Roman" w:hAnsiTheme="majorHAnsi" w:cs="Arial"/>
                <w:b/>
                <w:sz w:val="21"/>
                <w:szCs w:val="21"/>
                <w:u w:val="single"/>
                <w:lang w:eastAsia="en-GB"/>
              </w:rPr>
              <w:t>The Ancient World</w:t>
            </w:r>
          </w:p>
          <w:p w14:paraId="40D52821" w14:textId="77777777" w:rsidR="00CD089E" w:rsidRDefault="00CD089E" w:rsidP="00CD089E">
            <w:pPr>
              <w:rPr>
                <w:rFonts w:asciiTheme="majorHAnsi" w:eastAsia="Times New Roman" w:hAnsiTheme="majorHAnsi" w:cs="Arial"/>
                <w:b/>
                <w:sz w:val="21"/>
                <w:szCs w:val="21"/>
                <w:u w:val="single"/>
                <w:lang w:eastAsia="en-GB"/>
              </w:rPr>
            </w:pPr>
            <w:r w:rsidRPr="00342CE3">
              <w:rPr>
                <w:rFonts w:asciiTheme="majorHAnsi" w:eastAsia="Times New Roman" w:hAnsiTheme="majorHAnsi" w:cs="Arial"/>
                <w:b/>
                <w:sz w:val="21"/>
                <w:szCs w:val="21"/>
                <w:u w:val="single"/>
                <w:lang w:eastAsia="en-GB"/>
              </w:rPr>
              <w:t>Overview</w:t>
            </w:r>
            <w:r>
              <w:rPr>
                <w:rFonts w:asciiTheme="majorHAnsi" w:eastAsia="Times New Roman" w:hAnsiTheme="majorHAnsi" w:cs="Arial"/>
                <w:b/>
                <w:sz w:val="21"/>
                <w:szCs w:val="21"/>
                <w:u w:val="single"/>
                <w:lang w:eastAsia="en-GB"/>
              </w:rPr>
              <w:t xml:space="preserve"> </w:t>
            </w:r>
          </w:p>
          <w:p w14:paraId="4C71564D" w14:textId="77777777" w:rsidR="00CD089E" w:rsidRDefault="00CD089E" w:rsidP="00CD089E">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We begin the year exploring </w:t>
            </w:r>
            <w:proofErr w:type="gramStart"/>
            <w:r>
              <w:rPr>
                <w:rFonts w:asciiTheme="majorHAnsi" w:eastAsia="Times New Roman" w:hAnsiTheme="majorHAnsi" w:cs="Arial"/>
                <w:sz w:val="21"/>
                <w:szCs w:val="21"/>
                <w:lang w:eastAsia="en-GB"/>
              </w:rPr>
              <w:t>pre historic</w:t>
            </w:r>
            <w:proofErr w:type="gramEnd"/>
            <w:r>
              <w:rPr>
                <w:rFonts w:asciiTheme="majorHAnsi" w:eastAsia="Times New Roman" w:hAnsiTheme="majorHAnsi" w:cs="Arial"/>
                <w:sz w:val="21"/>
                <w:szCs w:val="21"/>
                <w:lang w:eastAsia="en-GB"/>
              </w:rPr>
              <w:t xml:space="preserve"> medicine and treatments, overseeing the use of trephining to how children were cared for. This will then develop into an </w:t>
            </w:r>
            <w:proofErr w:type="gramStart"/>
            <w:r>
              <w:rPr>
                <w:rFonts w:asciiTheme="majorHAnsi" w:eastAsia="Times New Roman" w:hAnsiTheme="majorHAnsi" w:cs="Arial"/>
                <w:sz w:val="21"/>
                <w:szCs w:val="21"/>
                <w:lang w:eastAsia="en-GB"/>
              </w:rPr>
              <w:t>in depth</w:t>
            </w:r>
            <w:proofErr w:type="gramEnd"/>
            <w:r>
              <w:rPr>
                <w:rFonts w:asciiTheme="majorHAnsi" w:eastAsia="Times New Roman" w:hAnsiTheme="majorHAnsi" w:cs="Arial"/>
                <w:sz w:val="21"/>
                <w:szCs w:val="21"/>
                <w:lang w:eastAsia="en-GB"/>
              </w:rPr>
              <w:t xml:space="preserve"> study of Ancient medicine, exploring Egyptian and Greek attitudes to medicine, Public Health and Surgery.</w:t>
            </w:r>
          </w:p>
          <w:p w14:paraId="3308996C" w14:textId="77777777" w:rsidR="00CD089E" w:rsidRPr="001F206C" w:rsidRDefault="00CD089E" w:rsidP="00CD089E">
            <w:pPr>
              <w:rPr>
                <w:rFonts w:asciiTheme="majorHAnsi" w:eastAsia="Times New Roman" w:hAnsiTheme="majorHAnsi" w:cs="Arial"/>
                <w:b/>
                <w:sz w:val="21"/>
                <w:szCs w:val="21"/>
                <w:u w:val="single"/>
                <w:lang w:eastAsia="en-GB"/>
              </w:rPr>
            </w:pPr>
            <w:r>
              <w:rPr>
                <w:rFonts w:asciiTheme="majorHAnsi" w:eastAsia="Times New Roman" w:hAnsiTheme="majorHAnsi" w:cs="Arial"/>
                <w:b/>
                <w:sz w:val="21"/>
                <w:szCs w:val="21"/>
                <w:u w:val="single"/>
                <w:lang w:eastAsia="en-GB"/>
              </w:rPr>
              <w:t>Medicine Stands Still</w:t>
            </w:r>
          </w:p>
          <w:p w14:paraId="6BF288B7" w14:textId="77777777" w:rsidR="00CD089E" w:rsidRDefault="00CD089E" w:rsidP="00CD089E">
            <w:pPr>
              <w:rPr>
                <w:rFonts w:asciiTheme="majorHAnsi" w:eastAsia="Times New Roman" w:hAnsiTheme="majorHAnsi" w:cs="Arial"/>
                <w:b/>
                <w:sz w:val="21"/>
                <w:szCs w:val="21"/>
                <w:u w:val="single"/>
                <w:lang w:eastAsia="en-GB"/>
              </w:rPr>
            </w:pPr>
            <w:r w:rsidRPr="001F206C">
              <w:rPr>
                <w:rFonts w:asciiTheme="majorHAnsi" w:eastAsia="Times New Roman" w:hAnsiTheme="majorHAnsi" w:cs="Arial"/>
                <w:b/>
                <w:sz w:val="21"/>
                <w:szCs w:val="21"/>
                <w:u w:val="single"/>
                <w:lang w:eastAsia="en-GB"/>
              </w:rPr>
              <w:t>Overview</w:t>
            </w:r>
          </w:p>
          <w:p w14:paraId="099DC40D" w14:textId="5273D56E" w:rsidR="005E2165" w:rsidRPr="00D37CB0" w:rsidRDefault="00CD089E" w:rsidP="00CD089E">
            <w:pPr>
              <w:pStyle w:val="NoSpacing"/>
              <w:rPr>
                <w:rFonts w:asciiTheme="majorHAnsi" w:hAnsiTheme="majorHAnsi" w:cstheme="majorHAnsi"/>
                <w:sz w:val="21"/>
                <w:szCs w:val="21"/>
                <w:lang w:eastAsia="en-GB"/>
              </w:rPr>
            </w:pPr>
            <w:r>
              <w:rPr>
                <w:rFonts w:asciiTheme="majorHAnsi" w:eastAsia="Times New Roman" w:hAnsiTheme="majorHAnsi" w:cs="Arial"/>
                <w:sz w:val="21"/>
                <w:szCs w:val="21"/>
                <w:lang w:eastAsia="en-GB"/>
              </w:rPr>
              <w:t>Students will investigate the impact of Roman medicine and Public Health systems, before looking at the decline of Medicine into the Medieval period and the growth of supernatural beliefs.</w:t>
            </w:r>
            <w:r w:rsidR="005E2165">
              <w:rPr>
                <w:rFonts w:asciiTheme="majorHAnsi" w:hAnsiTheme="majorHAnsi" w:cstheme="majorHAnsi"/>
                <w:sz w:val="21"/>
                <w:szCs w:val="21"/>
                <w:lang w:eastAsia="en-GB"/>
              </w:rPr>
              <w:t xml:space="preserve"> </w:t>
            </w:r>
          </w:p>
        </w:tc>
        <w:tc>
          <w:tcPr>
            <w:tcW w:w="4262" w:type="dxa"/>
          </w:tcPr>
          <w:p w14:paraId="6E05CA63" w14:textId="77777777" w:rsidR="00CD089E" w:rsidRPr="00BF0E31" w:rsidRDefault="005772C5" w:rsidP="00CD089E">
            <w:pPr>
              <w:spacing w:before="100" w:beforeAutospacing="1"/>
              <w:rPr>
                <w:rFonts w:asciiTheme="majorHAnsi" w:eastAsia="Times New Roman" w:hAnsiTheme="majorHAnsi" w:cs="Arial"/>
                <w:b/>
                <w:bCs/>
                <w:sz w:val="21"/>
                <w:szCs w:val="21"/>
                <w:u w:val="single"/>
                <w:lang w:eastAsia="en-GB"/>
              </w:rPr>
            </w:pPr>
            <w:r w:rsidRPr="005E2165">
              <w:rPr>
                <w:rFonts w:asciiTheme="majorHAnsi" w:hAnsiTheme="majorHAnsi" w:cstheme="majorHAnsi"/>
                <w:sz w:val="21"/>
                <w:szCs w:val="21"/>
                <w:lang w:eastAsia="en-GB"/>
              </w:rPr>
              <w:t xml:space="preserve"> </w:t>
            </w:r>
            <w:r w:rsidR="00CD089E">
              <w:rPr>
                <w:rFonts w:asciiTheme="majorHAnsi" w:eastAsia="Times New Roman" w:hAnsiTheme="majorHAnsi" w:cs="Arial"/>
                <w:b/>
                <w:bCs/>
                <w:sz w:val="21"/>
                <w:szCs w:val="21"/>
                <w:u w:val="single"/>
                <w:lang w:eastAsia="en-GB"/>
              </w:rPr>
              <w:t>The beginnings of change</w:t>
            </w:r>
          </w:p>
          <w:p w14:paraId="6F323192" w14:textId="77777777" w:rsidR="00CD089E" w:rsidRDefault="00CD089E" w:rsidP="00CD089E">
            <w:pPr>
              <w:rPr>
                <w:rFonts w:asciiTheme="majorHAnsi" w:eastAsia="Times New Roman" w:hAnsiTheme="majorHAnsi" w:cs="Arial"/>
                <w:b/>
                <w:bCs/>
                <w:sz w:val="21"/>
                <w:szCs w:val="21"/>
                <w:u w:val="single"/>
                <w:lang w:eastAsia="en-GB"/>
              </w:rPr>
            </w:pPr>
            <w:r w:rsidRPr="00BF0E31">
              <w:rPr>
                <w:rFonts w:asciiTheme="majorHAnsi" w:eastAsia="Times New Roman" w:hAnsiTheme="majorHAnsi" w:cs="Arial"/>
                <w:b/>
                <w:bCs/>
                <w:sz w:val="21"/>
                <w:szCs w:val="21"/>
                <w:u w:val="single"/>
                <w:lang w:eastAsia="en-GB"/>
              </w:rPr>
              <w:t>Overview</w:t>
            </w:r>
          </w:p>
          <w:p w14:paraId="73A4A6BF" w14:textId="77777777" w:rsidR="00CD089E" w:rsidRDefault="00CD089E" w:rsidP="00CD089E">
            <w:pPr>
              <w:rPr>
                <w:rFonts w:asciiTheme="majorHAnsi" w:eastAsia="Times New Roman" w:hAnsiTheme="majorHAnsi" w:cs="Arial"/>
                <w:bCs/>
                <w:sz w:val="21"/>
                <w:szCs w:val="21"/>
                <w:lang w:eastAsia="en-GB"/>
              </w:rPr>
            </w:pPr>
            <w:r>
              <w:rPr>
                <w:rFonts w:asciiTheme="majorHAnsi" w:eastAsia="Times New Roman" w:hAnsiTheme="majorHAnsi" w:cs="Arial"/>
                <w:bCs/>
                <w:sz w:val="21"/>
                <w:szCs w:val="21"/>
                <w:lang w:eastAsia="en-GB"/>
              </w:rPr>
              <w:t xml:space="preserve">Through changing medical </w:t>
            </w:r>
            <w:proofErr w:type="gramStart"/>
            <w:r>
              <w:rPr>
                <w:rFonts w:asciiTheme="majorHAnsi" w:eastAsia="Times New Roman" w:hAnsiTheme="majorHAnsi" w:cs="Arial"/>
                <w:bCs/>
                <w:sz w:val="21"/>
                <w:szCs w:val="21"/>
                <w:lang w:eastAsia="en-GB"/>
              </w:rPr>
              <w:t>beliefs</w:t>
            </w:r>
            <w:proofErr w:type="gramEnd"/>
            <w:r>
              <w:rPr>
                <w:rFonts w:asciiTheme="majorHAnsi" w:eastAsia="Times New Roman" w:hAnsiTheme="majorHAnsi" w:cs="Arial"/>
                <w:bCs/>
                <w:sz w:val="21"/>
                <w:szCs w:val="21"/>
                <w:lang w:eastAsia="en-GB"/>
              </w:rPr>
              <w:t xml:space="preserve"> we come to the Renaissance, looking at the re-birth of medical ideas and the challenging of pre conceived thoughts. We investigate the works of key </w:t>
            </w:r>
            <w:proofErr w:type="gramStart"/>
            <w:r>
              <w:rPr>
                <w:rFonts w:asciiTheme="majorHAnsi" w:eastAsia="Times New Roman" w:hAnsiTheme="majorHAnsi" w:cs="Arial"/>
                <w:bCs/>
                <w:sz w:val="21"/>
                <w:szCs w:val="21"/>
                <w:lang w:eastAsia="en-GB"/>
              </w:rPr>
              <w:t>individuals, and</w:t>
            </w:r>
            <w:proofErr w:type="gramEnd"/>
            <w:r>
              <w:rPr>
                <w:rFonts w:asciiTheme="majorHAnsi" w:eastAsia="Times New Roman" w:hAnsiTheme="majorHAnsi" w:cs="Arial"/>
                <w:bCs/>
                <w:sz w:val="21"/>
                <w:szCs w:val="21"/>
                <w:lang w:eastAsia="en-GB"/>
              </w:rPr>
              <w:t xml:space="preserve"> assess their significance in the development of medical practice.</w:t>
            </w:r>
          </w:p>
          <w:p w14:paraId="0E9DDF35" w14:textId="77777777" w:rsidR="00CD089E" w:rsidRPr="00BF0E31" w:rsidRDefault="00CD089E" w:rsidP="00CD089E">
            <w:pPr>
              <w:rPr>
                <w:rFonts w:asciiTheme="majorHAnsi" w:eastAsia="Times New Roman" w:hAnsiTheme="majorHAnsi" w:cs="Arial"/>
                <w:b/>
                <w:bCs/>
                <w:sz w:val="21"/>
                <w:szCs w:val="21"/>
                <w:u w:val="single"/>
                <w:lang w:eastAsia="en-GB"/>
              </w:rPr>
            </w:pPr>
            <w:r>
              <w:rPr>
                <w:rFonts w:asciiTheme="majorHAnsi" w:eastAsia="Times New Roman" w:hAnsiTheme="majorHAnsi" w:cs="Arial"/>
                <w:b/>
                <w:bCs/>
                <w:sz w:val="21"/>
                <w:szCs w:val="21"/>
                <w:u w:val="single"/>
                <w:lang w:eastAsia="en-GB"/>
              </w:rPr>
              <w:t>A revolution in Medicine (part 1)</w:t>
            </w:r>
          </w:p>
          <w:p w14:paraId="5988A46E" w14:textId="77777777" w:rsidR="00CD089E" w:rsidRDefault="00CD089E" w:rsidP="00CD089E">
            <w:pPr>
              <w:rPr>
                <w:rFonts w:asciiTheme="majorHAnsi" w:eastAsia="Times New Roman" w:hAnsiTheme="majorHAnsi" w:cs="Arial"/>
                <w:b/>
                <w:bCs/>
                <w:sz w:val="21"/>
                <w:szCs w:val="21"/>
                <w:u w:val="single"/>
                <w:lang w:eastAsia="en-GB"/>
              </w:rPr>
            </w:pPr>
            <w:r w:rsidRPr="00BF0E31">
              <w:rPr>
                <w:rFonts w:asciiTheme="majorHAnsi" w:eastAsia="Times New Roman" w:hAnsiTheme="majorHAnsi" w:cs="Arial"/>
                <w:b/>
                <w:bCs/>
                <w:sz w:val="21"/>
                <w:szCs w:val="21"/>
                <w:u w:val="single"/>
                <w:lang w:eastAsia="en-GB"/>
              </w:rPr>
              <w:t>Overview</w:t>
            </w:r>
          </w:p>
          <w:p w14:paraId="695CCE7B" w14:textId="6A19084B" w:rsidR="005772C5" w:rsidRPr="005E2165" w:rsidRDefault="00CD089E" w:rsidP="00CD089E">
            <w:pPr>
              <w:pStyle w:val="NoSpacing"/>
              <w:rPr>
                <w:rFonts w:asciiTheme="majorHAnsi" w:hAnsiTheme="majorHAnsi" w:cstheme="majorHAnsi"/>
                <w:sz w:val="21"/>
                <w:szCs w:val="21"/>
                <w:lang w:eastAsia="en-GB"/>
              </w:rPr>
            </w:pPr>
            <w:r>
              <w:rPr>
                <w:rFonts w:asciiTheme="majorHAnsi" w:eastAsia="Times New Roman" w:hAnsiTheme="majorHAnsi" w:cs="Arial"/>
                <w:bCs/>
                <w:sz w:val="21"/>
                <w:szCs w:val="21"/>
                <w:lang w:eastAsia="en-GB"/>
              </w:rPr>
              <w:t>We explore the key concepts of surgery, public health and disease and infection in the 19</w:t>
            </w:r>
            <w:r w:rsidRPr="001D4357">
              <w:rPr>
                <w:rFonts w:asciiTheme="majorHAnsi" w:eastAsia="Times New Roman" w:hAnsiTheme="majorHAnsi" w:cs="Arial"/>
                <w:bCs/>
                <w:sz w:val="21"/>
                <w:szCs w:val="21"/>
                <w:vertAlign w:val="superscript"/>
                <w:lang w:eastAsia="en-GB"/>
              </w:rPr>
              <w:t>th</w:t>
            </w:r>
            <w:r>
              <w:rPr>
                <w:rFonts w:asciiTheme="majorHAnsi" w:eastAsia="Times New Roman" w:hAnsiTheme="majorHAnsi" w:cs="Arial"/>
                <w:bCs/>
                <w:sz w:val="21"/>
                <w:szCs w:val="21"/>
                <w:lang w:eastAsia="en-GB"/>
              </w:rPr>
              <w:t xml:space="preserve"> </w:t>
            </w:r>
            <w:proofErr w:type="gramStart"/>
            <w:r>
              <w:rPr>
                <w:rFonts w:asciiTheme="majorHAnsi" w:eastAsia="Times New Roman" w:hAnsiTheme="majorHAnsi" w:cs="Arial"/>
                <w:bCs/>
                <w:sz w:val="21"/>
                <w:szCs w:val="21"/>
                <w:lang w:eastAsia="en-GB"/>
              </w:rPr>
              <w:t>century, and</w:t>
            </w:r>
            <w:proofErr w:type="gramEnd"/>
            <w:r>
              <w:rPr>
                <w:rFonts w:asciiTheme="majorHAnsi" w:eastAsia="Times New Roman" w:hAnsiTheme="majorHAnsi" w:cs="Arial"/>
                <w:bCs/>
                <w:sz w:val="21"/>
                <w:szCs w:val="21"/>
                <w:lang w:eastAsia="en-GB"/>
              </w:rPr>
              <w:t xml:space="preserve"> analyse the impact of key individuals and governmental initiatives.</w:t>
            </w:r>
          </w:p>
        </w:tc>
        <w:tc>
          <w:tcPr>
            <w:tcW w:w="4263" w:type="dxa"/>
          </w:tcPr>
          <w:p w14:paraId="03F11E12" w14:textId="77777777" w:rsidR="00CD089E" w:rsidRPr="00BF0E31" w:rsidRDefault="00D37CB0" w:rsidP="00CD089E">
            <w:pPr>
              <w:rPr>
                <w:rFonts w:asciiTheme="majorHAnsi" w:eastAsia="Times New Roman" w:hAnsiTheme="majorHAnsi" w:cs="Arial"/>
                <w:b/>
                <w:bCs/>
                <w:sz w:val="21"/>
                <w:szCs w:val="21"/>
                <w:u w:val="single"/>
                <w:lang w:eastAsia="en-GB"/>
              </w:rPr>
            </w:pPr>
            <w:r>
              <w:rPr>
                <w:rFonts w:asciiTheme="majorHAnsi" w:hAnsiTheme="majorHAnsi" w:cstheme="majorHAnsi"/>
                <w:bCs/>
                <w:sz w:val="21"/>
                <w:szCs w:val="21"/>
                <w:lang w:eastAsia="en-GB"/>
              </w:rPr>
              <w:t xml:space="preserve"> </w:t>
            </w:r>
            <w:r w:rsidR="00CD089E">
              <w:rPr>
                <w:rFonts w:asciiTheme="majorHAnsi" w:eastAsia="Times New Roman" w:hAnsiTheme="majorHAnsi" w:cs="Arial"/>
                <w:b/>
                <w:bCs/>
                <w:sz w:val="21"/>
                <w:szCs w:val="21"/>
                <w:u w:val="single"/>
                <w:lang w:eastAsia="en-GB"/>
              </w:rPr>
              <w:t>A revolution in Medicine (part 2)</w:t>
            </w:r>
          </w:p>
          <w:p w14:paraId="541B4B44" w14:textId="77777777" w:rsidR="00CD089E" w:rsidRDefault="00CD089E" w:rsidP="00CD089E">
            <w:pPr>
              <w:rPr>
                <w:rFonts w:asciiTheme="majorHAnsi" w:eastAsia="Times New Roman" w:hAnsiTheme="majorHAnsi" w:cs="Arial"/>
                <w:b/>
                <w:bCs/>
                <w:sz w:val="21"/>
                <w:szCs w:val="21"/>
                <w:u w:val="single"/>
                <w:lang w:eastAsia="en-GB"/>
              </w:rPr>
            </w:pPr>
            <w:r w:rsidRPr="00BF0E31">
              <w:rPr>
                <w:rFonts w:asciiTheme="majorHAnsi" w:eastAsia="Times New Roman" w:hAnsiTheme="majorHAnsi" w:cs="Arial"/>
                <w:b/>
                <w:bCs/>
                <w:sz w:val="21"/>
                <w:szCs w:val="21"/>
                <w:u w:val="single"/>
                <w:lang w:eastAsia="en-GB"/>
              </w:rPr>
              <w:t>Overview</w:t>
            </w:r>
          </w:p>
          <w:p w14:paraId="3623486B" w14:textId="77777777" w:rsidR="00CD089E" w:rsidRPr="00496AEB" w:rsidRDefault="00CD089E" w:rsidP="00CD089E">
            <w:pPr>
              <w:rPr>
                <w:rFonts w:asciiTheme="majorHAnsi" w:eastAsia="Times New Roman" w:hAnsiTheme="majorHAnsi" w:cs="Arial"/>
                <w:bCs/>
                <w:sz w:val="21"/>
                <w:szCs w:val="21"/>
                <w:lang w:eastAsia="en-GB"/>
              </w:rPr>
            </w:pPr>
            <w:r w:rsidRPr="001D4357">
              <w:rPr>
                <w:rFonts w:asciiTheme="majorHAnsi" w:eastAsia="Times New Roman" w:hAnsiTheme="majorHAnsi" w:cs="Arial"/>
                <w:bCs/>
                <w:sz w:val="21"/>
                <w:szCs w:val="21"/>
                <w:lang w:eastAsia="en-GB"/>
              </w:rPr>
              <w:t xml:space="preserve">We explore the key concepts of surgery, public health and disease and infection in the 19th </w:t>
            </w:r>
            <w:proofErr w:type="gramStart"/>
            <w:r w:rsidRPr="001D4357">
              <w:rPr>
                <w:rFonts w:asciiTheme="majorHAnsi" w:eastAsia="Times New Roman" w:hAnsiTheme="majorHAnsi" w:cs="Arial"/>
                <w:bCs/>
                <w:sz w:val="21"/>
                <w:szCs w:val="21"/>
                <w:lang w:eastAsia="en-GB"/>
              </w:rPr>
              <w:t>century, and</w:t>
            </w:r>
            <w:proofErr w:type="gramEnd"/>
            <w:r w:rsidRPr="001D4357">
              <w:rPr>
                <w:rFonts w:asciiTheme="majorHAnsi" w:eastAsia="Times New Roman" w:hAnsiTheme="majorHAnsi" w:cs="Arial"/>
                <w:bCs/>
                <w:sz w:val="21"/>
                <w:szCs w:val="21"/>
                <w:lang w:eastAsia="en-GB"/>
              </w:rPr>
              <w:t xml:space="preserve"> analyse the impact of key individuals and governmental initiatives.</w:t>
            </w:r>
            <w:r>
              <w:rPr>
                <w:rFonts w:asciiTheme="majorHAnsi" w:eastAsia="Times New Roman" w:hAnsiTheme="majorHAnsi" w:cs="Arial"/>
                <w:bCs/>
                <w:sz w:val="21"/>
                <w:szCs w:val="21"/>
                <w:lang w:eastAsia="en-GB"/>
              </w:rPr>
              <w:t xml:space="preserve"> This unit will focus on the later 19</w:t>
            </w:r>
            <w:r w:rsidRPr="001D4357">
              <w:rPr>
                <w:rFonts w:asciiTheme="majorHAnsi" w:eastAsia="Times New Roman" w:hAnsiTheme="majorHAnsi" w:cs="Arial"/>
                <w:bCs/>
                <w:sz w:val="21"/>
                <w:szCs w:val="21"/>
                <w:vertAlign w:val="superscript"/>
                <w:lang w:eastAsia="en-GB"/>
              </w:rPr>
              <w:t>th</w:t>
            </w:r>
            <w:r>
              <w:rPr>
                <w:rFonts w:asciiTheme="majorHAnsi" w:eastAsia="Times New Roman" w:hAnsiTheme="majorHAnsi" w:cs="Arial"/>
                <w:bCs/>
                <w:sz w:val="21"/>
                <w:szCs w:val="21"/>
                <w:lang w:eastAsia="en-GB"/>
              </w:rPr>
              <w:t xml:space="preserve"> century into early 20</w:t>
            </w:r>
            <w:r w:rsidRPr="001D4357">
              <w:rPr>
                <w:rFonts w:asciiTheme="majorHAnsi" w:eastAsia="Times New Roman" w:hAnsiTheme="majorHAnsi" w:cs="Arial"/>
                <w:bCs/>
                <w:sz w:val="21"/>
                <w:szCs w:val="21"/>
                <w:vertAlign w:val="superscript"/>
                <w:lang w:eastAsia="en-GB"/>
              </w:rPr>
              <w:t>th</w:t>
            </w:r>
            <w:r>
              <w:rPr>
                <w:rFonts w:asciiTheme="majorHAnsi" w:eastAsia="Times New Roman" w:hAnsiTheme="majorHAnsi" w:cs="Arial"/>
                <w:bCs/>
                <w:sz w:val="21"/>
                <w:szCs w:val="21"/>
                <w:lang w:eastAsia="en-GB"/>
              </w:rPr>
              <w:t xml:space="preserve"> century reform.</w:t>
            </w:r>
          </w:p>
          <w:p w14:paraId="029E0D1D" w14:textId="77777777" w:rsidR="00CD089E" w:rsidRDefault="00CD089E" w:rsidP="00CD089E">
            <w:pPr>
              <w:rPr>
                <w:rFonts w:asciiTheme="majorHAnsi" w:eastAsia="Times New Roman" w:hAnsiTheme="majorHAnsi" w:cs="Arial"/>
                <w:b/>
                <w:bCs/>
                <w:sz w:val="21"/>
                <w:szCs w:val="21"/>
                <w:u w:val="single"/>
                <w:lang w:eastAsia="en-GB"/>
              </w:rPr>
            </w:pPr>
            <w:r>
              <w:rPr>
                <w:rFonts w:asciiTheme="majorHAnsi" w:eastAsia="Times New Roman" w:hAnsiTheme="majorHAnsi" w:cs="Arial"/>
                <w:b/>
                <w:bCs/>
                <w:sz w:val="21"/>
                <w:szCs w:val="21"/>
                <w:u w:val="single"/>
                <w:lang w:eastAsia="en-GB"/>
              </w:rPr>
              <w:t>Inter war years 1918-1939</w:t>
            </w:r>
          </w:p>
          <w:p w14:paraId="5A87331D" w14:textId="0469B5A8" w:rsidR="00D37CB0" w:rsidRPr="00D37CB0" w:rsidRDefault="00CD089E" w:rsidP="00CD089E">
            <w:pPr>
              <w:pStyle w:val="NoSpacing"/>
              <w:rPr>
                <w:rFonts w:asciiTheme="majorHAnsi" w:hAnsiTheme="majorHAnsi" w:cstheme="majorHAnsi"/>
                <w:bCs/>
                <w:sz w:val="21"/>
                <w:szCs w:val="21"/>
                <w:lang w:eastAsia="en-GB"/>
              </w:rPr>
            </w:pPr>
            <w:r>
              <w:rPr>
                <w:rFonts w:asciiTheme="majorHAnsi" w:eastAsia="Times New Roman" w:hAnsiTheme="majorHAnsi" w:cs="Arial"/>
                <w:bCs/>
                <w:sz w:val="21"/>
                <w:szCs w:val="21"/>
                <w:lang w:eastAsia="en-GB"/>
              </w:rPr>
              <w:t>Students will begin to study the aftermath of WW1 and the aims of the peacemakers at the conference of Versailles. Students will need to know the terms of the Treaty of June 1919 and the reactions from various countries.</w:t>
            </w: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17785B56"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161B6F2C" w14:textId="56614D57" w:rsidR="00102035" w:rsidRPr="007B62A8" w:rsidRDefault="008B58EA" w:rsidP="00D37CB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assessed essay question and </w:t>
            </w:r>
            <w:r w:rsidR="00D37CB0">
              <w:rPr>
                <w:rFonts w:asciiTheme="majorHAnsi" w:hAnsiTheme="majorHAnsi" w:cstheme="majorHAnsi"/>
                <w:b/>
                <w:bCs/>
                <w:sz w:val="21"/>
                <w:szCs w:val="21"/>
              </w:rPr>
              <w:t xml:space="preserve">Knowledge Audit. </w:t>
            </w:r>
          </w:p>
        </w:tc>
        <w:tc>
          <w:tcPr>
            <w:tcW w:w="4262" w:type="dxa"/>
            <w:vAlign w:val="center"/>
          </w:tcPr>
          <w:p w14:paraId="385E34BB" w14:textId="72F77D61" w:rsidR="00102035" w:rsidRPr="007B62A8" w:rsidRDefault="00CD089E"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Exam Q </w:t>
            </w:r>
            <w:r w:rsidR="00D37CB0">
              <w:rPr>
                <w:rFonts w:asciiTheme="majorHAnsi" w:hAnsiTheme="majorHAnsi" w:cstheme="majorHAnsi"/>
                <w:b/>
                <w:bCs/>
                <w:sz w:val="21"/>
                <w:szCs w:val="21"/>
              </w:rPr>
              <w:t>and</w:t>
            </w:r>
            <w:r w:rsidR="005772C5">
              <w:rPr>
                <w:rFonts w:asciiTheme="majorHAnsi" w:hAnsiTheme="majorHAnsi" w:cstheme="majorHAnsi"/>
                <w:b/>
                <w:bCs/>
                <w:sz w:val="21"/>
                <w:szCs w:val="21"/>
              </w:rPr>
              <w:t xml:space="preserve"> end </w:t>
            </w:r>
            <w:r w:rsidR="00E05036" w:rsidRPr="007B62A8">
              <w:rPr>
                <w:rFonts w:asciiTheme="majorHAnsi" w:hAnsiTheme="majorHAnsi" w:cstheme="majorHAnsi"/>
                <w:b/>
                <w:bCs/>
                <w:sz w:val="21"/>
                <w:szCs w:val="21"/>
              </w:rPr>
              <w:t>of Module Knowledge Audi</w:t>
            </w:r>
            <w:r w:rsidR="00E40919" w:rsidRPr="007B62A8">
              <w:rPr>
                <w:rFonts w:asciiTheme="majorHAnsi" w:hAnsiTheme="majorHAnsi" w:cstheme="majorHAnsi"/>
                <w:b/>
                <w:bCs/>
                <w:sz w:val="21"/>
                <w:szCs w:val="21"/>
              </w:rPr>
              <w:t>t</w:t>
            </w:r>
          </w:p>
        </w:tc>
        <w:tc>
          <w:tcPr>
            <w:tcW w:w="4263" w:type="dxa"/>
            <w:vAlign w:val="center"/>
          </w:tcPr>
          <w:p w14:paraId="6F87CD97" w14:textId="2D62EA6B" w:rsidR="00102035" w:rsidRPr="007B62A8" w:rsidRDefault="00E05036" w:rsidP="00E40919">
            <w:pPr>
              <w:pStyle w:val="NoSpacing"/>
              <w:jc w:val="center"/>
              <w:rPr>
                <w:rFonts w:asciiTheme="majorHAnsi" w:hAnsiTheme="majorHAnsi" w:cstheme="majorHAnsi"/>
                <w:b/>
                <w:bCs/>
                <w:sz w:val="21"/>
                <w:szCs w:val="21"/>
              </w:rPr>
            </w:pPr>
            <w:r w:rsidRPr="007B62A8">
              <w:rPr>
                <w:rFonts w:asciiTheme="majorHAnsi" w:hAnsiTheme="majorHAnsi" w:cstheme="majorHAnsi"/>
                <w:b/>
                <w:bCs/>
                <w:sz w:val="21"/>
                <w:szCs w:val="21"/>
              </w:rPr>
              <w:t>End of Year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2A080A19" w:rsidR="00792EC3" w:rsidRPr="007B62A8" w:rsidRDefault="00D37CB0" w:rsidP="008B58EA">
            <w:pPr>
              <w:rPr>
                <w:rFonts w:asciiTheme="majorHAnsi" w:hAnsiTheme="majorHAnsi" w:cs="Arial"/>
                <w:bCs/>
                <w:sz w:val="21"/>
                <w:szCs w:val="21"/>
              </w:rPr>
            </w:pPr>
            <w:r>
              <w:rPr>
                <w:rFonts w:asciiTheme="majorHAnsi" w:hAnsiTheme="majorHAnsi" w:cs="Arial"/>
                <w:bCs/>
                <w:sz w:val="21"/>
                <w:szCs w:val="21"/>
              </w:rPr>
              <w:t xml:space="preserve">Students will learn key skills for careers such as using evidence and interpretation people’s opinions. Students will form opinions and judgements and learn to analytical describe the impact on different people. </w:t>
            </w:r>
          </w:p>
        </w:tc>
        <w:tc>
          <w:tcPr>
            <w:tcW w:w="4262" w:type="dxa"/>
            <w:shd w:val="clear" w:color="auto" w:fill="auto"/>
          </w:tcPr>
          <w:p w14:paraId="063E34E5" w14:textId="2B4B8F41" w:rsidR="00792EC3" w:rsidRPr="007B62A8" w:rsidRDefault="00D37CB0" w:rsidP="005772C5">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c>
          <w:tcPr>
            <w:tcW w:w="4263" w:type="dxa"/>
            <w:shd w:val="clear" w:color="auto" w:fill="auto"/>
          </w:tcPr>
          <w:p w14:paraId="3E44C4AA" w14:textId="5E0064A4" w:rsidR="00792EC3" w:rsidRPr="007B62A8" w:rsidRDefault="0048237D" w:rsidP="00694492">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5144B2DA" w14:textId="5EC2564C" w:rsidR="00571715" w:rsidRDefault="00756436" w:rsidP="00102035">
            <w:pPr>
              <w:rPr>
                <w:rFonts w:asciiTheme="majorHAnsi" w:hAnsiTheme="majorHAnsi" w:cs="Arial"/>
                <w:sz w:val="18"/>
                <w:szCs w:val="18"/>
              </w:rPr>
            </w:pPr>
            <w:r>
              <w:rPr>
                <w:rFonts w:asciiTheme="majorHAnsi" w:hAnsiTheme="majorHAnsi" w:cs="Arial"/>
                <w:sz w:val="18"/>
                <w:szCs w:val="18"/>
              </w:rPr>
              <w:t xml:space="preserve">Article 24: Health and Health services </w:t>
            </w:r>
            <w:r w:rsidR="005E2165">
              <w:rPr>
                <w:rFonts w:asciiTheme="majorHAnsi" w:hAnsiTheme="majorHAnsi" w:cs="Arial"/>
                <w:sz w:val="18"/>
                <w:szCs w:val="18"/>
              </w:rPr>
              <w:t xml:space="preserve"> </w:t>
            </w:r>
          </w:p>
          <w:p w14:paraId="41AEE4BF" w14:textId="77EB6191" w:rsidR="00A35F6F" w:rsidRPr="00571715" w:rsidRDefault="00A35F6F" w:rsidP="00102035">
            <w:pPr>
              <w:rPr>
                <w:rFonts w:asciiTheme="majorHAnsi" w:hAnsiTheme="majorHAnsi" w:cs="Arial"/>
                <w:sz w:val="18"/>
                <w:szCs w:val="18"/>
              </w:rPr>
            </w:pPr>
          </w:p>
        </w:tc>
        <w:tc>
          <w:tcPr>
            <w:tcW w:w="4262" w:type="dxa"/>
            <w:tcBorders>
              <w:bottom w:val="single" w:sz="4" w:space="0" w:color="auto"/>
            </w:tcBorders>
          </w:tcPr>
          <w:p w14:paraId="6D8A5730" w14:textId="60759260" w:rsidR="005772C5" w:rsidRPr="00571715" w:rsidRDefault="00756436" w:rsidP="005772C5">
            <w:pPr>
              <w:rPr>
                <w:rFonts w:asciiTheme="majorHAnsi" w:hAnsiTheme="majorHAnsi" w:cs="Arial"/>
                <w:sz w:val="18"/>
                <w:szCs w:val="18"/>
              </w:rPr>
            </w:pPr>
            <w:r>
              <w:rPr>
                <w:rFonts w:asciiTheme="majorHAnsi" w:hAnsiTheme="majorHAnsi" w:cs="Arial"/>
                <w:sz w:val="18"/>
                <w:szCs w:val="18"/>
              </w:rPr>
              <w:t xml:space="preserve">Article 24: Health and Health services </w:t>
            </w:r>
          </w:p>
        </w:tc>
        <w:tc>
          <w:tcPr>
            <w:tcW w:w="4263" w:type="dxa"/>
          </w:tcPr>
          <w:p w14:paraId="6F3FCA8A" w14:textId="15EB5AE5" w:rsidR="00D37CB0" w:rsidRPr="00571715" w:rsidRDefault="00756436" w:rsidP="00694492">
            <w:pPr>
              <w:rPr>
                <w:rFonts w:asciiTheme="majorHAnsi" w:hAnsiTheme="majorHAnsi" w:cs="Arial"/>
                <w:sz w:val="18"/>
                <w:szCs w:val="18"/>
              </w:rPr>
            </w:pPr>
            <w:r>
              <w:rPr>
                <w:rFonts w:asciiTheme="majorHAnsi" w:hAnsiTheme="majorHAnsi" w:cs="Arial"/>
                <w:sz w:val="18"/>
                <w:szCs w:val="18"/>
              </w:rPr>
              <w:t xml:space="preserve">Article 24: Health and Health services </w:t>
            </w:r>
            <w:r w:rsidR="00D37CB0">
              <w:rPr>
                <w:rFonts w:asciiTheme="majorHAnsi" w:hAnsiTheme="majorHAnsi" w:cs="Arial"/>
                <w:sz w:val="18"/>
                <w:szCs w:val="18"/>
              </w:rPr>
              <w:t xml:space="preserve">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3D8B51A0" w14:textId="34CD024D" w:rsidR="00D37CB0" w:rsidRDefault="00756436" w:rsidP="00102035">
            <w:pPr>
              <w:rPr>
                <w:rFonts w:asciiTheme="majorHAnsi" w:hAnsiTheme="majorHAnsi" w:cs="Arial"/>
                <w:sz w:val="21"/>
                <w:szCs w:val="21"/>
              </w:rPr>
            </w:pPr>
            <w:r>
              <w:rPr>
                <w:rFonts w:asciiTheme="majorHAnsi" w:hAnsiTheme="majorHAnsi" w:cs="Arial"/>
                <w:sz w:val="21"/>
                <w:szCs w:val="21"/>
              </w:rPr>
              <w:t xml:space="preserve">Creative curriculum/citizenship – Medicine </w:t>
            </w:r>
          </w:p>
          <w:p w14:paraId="5D8D19A0" w14:textId="51A83879" w:rsidR="005772C5" w:rsidRPr="007B62A8" w:rsidRDefault="005772C5" w:rsidP="00102035">
            <w:pPr>
              <w:rPr>
                <w:rFonts w:asciiTheme="majorHAnsi" w:hAnsiTheme="majorHAnsi" w:cs="Arial"/>
                <w:sz w:val="21"/>
                <w:szCs w:val="21"/>
              </w:rPr>
            </w:pPr>
            <w:r>
              <w:rPr>
                <w:rFonts w:asciiTheme="majorHAnsi" w:hAnsiTheme="majorHAnsi" w:cs="Arial"/>
                <w:sz w:val="21"/>
                <w:szCs w:val="21"/>
              </w:rPr>
              <w:t xml:space="preserve"> </w:t>
            </w:r>
          </w:p>
        </w:tc>
        <w:tc>
          <w:tcPr>
            <w:tcW w:w="4262" w:type="dxa"/>
            <w:tcBorders>
              <w:bottom w:val="single" w:sz="4" w:space="0" w:color="auto"/>
            </w:tcBorders>
          </w:tcPr>
          <w:p w14:paraId="3D1993EF" w14:textId="0E18905F" w:rsidR="00C06BAF" w:rsidRDefault="00C06BAF" w:rsidP="00C06BAF">
            <w:pPr>
              <w:rPr>
                <w:rFonts w:asciiTheme="majorHAnsi" w:hAnsiTheme="majorHAnsi" w:cs="Arial"/>
                <w:sz w:val="18"/>
                <w:szCs w:val="18"/>
              </w:rPr>
            </w:pPr>
            <w:r>
              <w:rPr>
                <w:rFonts w:asciiTheme="majorHAnsi" w:hAnsiTheme="majorHAnsi" w:cs="Arial"/>
                <w:sz w:val="18"/>
                <w:szCs w:val="18"/>
              </w:rPr>
              <w:t xml:space="preserve">English – cities and societies non fic. Dickens’ London.  </w:t>
            </w:r>
          </w:p>
          <w:p w14:paraId="194CF9B0" w14:textId="77777777" w:rsidR="00C06BAF" w:rsidRDefault="00C06BAF" w:rsidP="00C06BAF">
            <w:pPr>
              <w:rPr>
                <w:rFonts w:asciiTheme="majorHAnsi" w:hAnsiTheme="majorHAnsi" w:cs="Arial"/>
                <w:sz w:val="18"/>
                <w:szCs w:val="18"/>
              </w:rPr>
            </w:pPr>
            <w:r>
              <w:rPr>
                <w:rFonts w:asciiTheme="majorHAnsi" w:hAnsiTheme="majorHAnsi" w:cs="Arial"/>
                <w:sz w:val="18"/>
                <w:szCs w:val="18"/>
              </w:rPr>
              <w:t>Science – vaccination and cell biology</w:t>
            </w:r>
          </w:p>
          <w:p w14:paraId="091CE692" w14:textId="3913A1D1" w:rsidR="005772C5" w:rsidRPr="007B62A8" w:rsidRDefault="00C06BAF" w:rsidP="00C06BAF">
            <w:pPr>
              <w:rPr>
                <w:rFonts w:asciiTheme="majorHAnsi" w:hAnsiTheme="majorHAnsi" w:cs="Arial"/>
                <w:sz w:val="21"/>
                <w:szCs w:val="21"/>
              </w:rPr>
            </w:pPr>
            <w:r>
              <w:rPr>
                <w:rFonts w:asciiTheme="majorHAnsi" w:hAnsiTheme="majorHAnsi" w:cs="Arial"/>
                <w:sz w:val="18"/>
                <w:szCs w:val="18"/>
              </w:rPr>
              <w:t>Maths – ratio and proportion = urbanisation</w:t>
            </w:r>
          </w:p>
        </w:tc>
        <w:tc>
          <w:tcPr>
            <w:tcW w:w="4263" w:type="dxa"/>
          </w:tcPr>
          <w:p w14:paraId="0E6D58F4" w14:textId="356FAFBF" w:rsidR="00756436" w:rsidRDefault="00756436" w:rsidP="00694492">
            <w:pPr>
              <w:rPr>
                <w:rFonts w:asciiTheme="majorHAnsi" w:hAnsiTheme="majorHAnsi" w:cs="Arial"/>
                <w:sz w:val="21"/>
                <w:szCs w:val="21"/>
              </w:rPr>
            </w:pPr>
            <w:r>
              <w:rPr>
                <w:rFonts w:asciiTheme="majorHAnsi" w:hAnsiTheme="majorHAnsi" w:cs="Arial"/>
                <w:sz w:val="21"/>
                <w:szCs w:val="21"/>
              </w:rPr>
              <w:t>Science: Germ theory development.</w:t>
            </w:r>
          </w:p>
          <w:p w14:paraId="4E1D2907" w14:textId="04F4B924" w:rsidR="00694492" w:rsidRPr="007B62A8" w:rsidRDefault="00756436" w:rsidP="00694492">
            <w:pPr>
              <w:rPr>
                <w:rFonts w:asciiTheme="majorHAnsi" w:hAnsiTheme="majorHAnsi" w:cs="Arial"/>
                <w:sz w:val="21"/>
                <w:szCs w:val="21"/>
              </w:rPr>
            </w:pPr>
            <w:r>
              <w:rPr>
                <w:rFonts w:asciiTheme="majorHAnsi" w:hAnsiTheme="majorHAnsi" w:cs="Arial"/>
                <w:sz w:val="21"/>
                <w:szCs w:val="21"/>
              </w:rPr>
              <w:t xml:space="preserve">English: Aftermath of WW1 </w:t>
            </w:r>
            <w:r w:rsidR="00C47FA1">
              <w:rPr>
                <w:rFonts w:asciiTheme="majorHAnsi" w:hAnsiTheme="majorHAnsi" w:cs="Arial"/>
                <w:sz w:val="21"/>
                <w:szCs w:val="21"/>
              </w:rPr>
              <w:t xml:space="preserve"> </w:t>
            </w:r>
          </w:p>
          <w:p w14:paraId="3001954F" w14:textId="3113A680" w:rsidR="00102035" w:rsidRPr="007B62A8" w:rsidRDefault="00102035" w:rsidP="000F7E95">
            <w:pPr>
              <w:rPr>
                <w:rFonts w:asciiTheme="majorHAnsi" w:hAnsiTheme="majorHAnsi" w:cs="Arial"/>
                <w:sz w:val="21"/>
                <w:szCs w:val="21"/>
              </w:rPr>
            </w:pP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5E7540EF"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65C29B4C"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lastRenderedPageBreak/>
              <w:t xml:space="preserve">Decode it NOW – </w:t>
            </w:r>
            <w:r w:rsidR="005E2165">
              <w:rPr>
                <w:rFonts w:asciiTheme="majorHAnsi" w:hAnsiTheme="majorHAnsi" w:cs="Arial"/>
                <w:sz w:val="21"/>
                <w:szCs w:val="21"/>
              </w:rPr>
              <w:t xml:space="preserve">Trench </w:t>
            </w:r>
          </w:p>
          <w:p w14:paraId="2C4F1B53"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3F2DB0E6" w14:textId="77777777" w:rsidR="000F7E9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lastRenderedPageBreak/>
              <w:t>Structure strips for GCSE style questions</w:t>
            </w:r>
          </w:p>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lastRenderedPageBreak/>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3E045F9C"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lastRenderedPageBreak/>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464B50FA"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lastRenderedPageBreak/>
              <w:t xml:space="preserve">Decode it NOW – </w:t>
            </w:r>
            <w:r w:rsidR="00C47FA1">
              <w:rPr>
                <w:rFonts w:asciiTheme="majorHAnsi" w:hAnsiTheme="majorHAnsi" w:cs="Arial"/>
                <w:sz w:val="21"/>
                <w:szCs w:val="21"/>
              </w:rPr>
              <w:t xml:space="preserve">Autarky </w:t>
            </w:r>
          </w:p>
          <w:p w14:paraId="16B1DAF6"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lastRenderedPageBreak/>
              <w:t>Useful websites</w:t>
            </w:r>
            <w:r w:rsidR="005772C5">
              <w:rPr>
                <w:rFonts w:asciiTheme="majorHAnsi" w:hAnsiTheme="majorHAnsi" w:cs="Arial"/>
                <w:b/>
                <w:sz w:val="21"/>
                <w:szCs w:val="21"/>
              </w:rPr>
              <w:t xml:space="preserve">/videos </w:t>
            </w:r>
          </w:p>
        </w:tc>
        <w:tc>
          <w:tcPr>
            <w:tcW w:w="12787" w:type="dxa"/>
            <w:gridSpan w:val="3"/>
            <w:vAlign w:val="center"/>
          </w:tcPr>
          <w:p w14:paraId="1CB6FA9F" w14:textId="77777777" w:rsidR="00C06BAF" w:rsidRPr="00C06BAF" w:rsidRDefault="00C06BAF" w:rsidP="00C06BAF">
            <w:pPr>
              <w:spacing w:line="360" w:lineRule="auto"/>
              <w:rPr>
                <w:rFonts w:eastAsia="Times New Roman"/>
                <w:color w:val="333333"/>
              </w:rPr>
            </w:pPr>
            <w:r w:rsidRPr="00C06BAF">
              <w:rPr>
                <w:rFonts w:eastAsia="Times New Roman"/>
                <w:color w:val="333333"/>
              </w:rPr>
              <w:t xml:space="preserve">Blood and Guts: A History of Surgery by Richard </w:t>
            </w:r>
            <w:proofErr w:type="spellStart"/>
            <w:r w:rsidRPr="00C06BAF">
              <w:rPr>
                <w:rFonts w:eastAsia="Times New Roman"/>
                <w:color w:val="333333"/>
              </w:rPr>
              <w:t>Hollingham</w:t>
            </w:r>
            <w:proofErr w:type="spellEnd"/>
            <w:r w:rsidRPr="00C06BAF">
              <w:rPr>
                <w:rFonts w:eastAsia="Times New Roman"/>
                <w:color w:val="333333"/>
              </w:rPr>
              <w:t xml:space="preserve"> – Developments in surgery</w:t>
            </w:r>
          </w:p>
          <w:p w14:paraId="7652992D" w14:textId="41B51F01" w:rsidR="00C47FA1" w:rsidRPr="005772C5" w:rsidRDefault="00C06BAF" w:rsidP="009634F1">
            <w:r w:rsidRPr="00C06BAF">
              <w:t xml:space="preserve">Dan snow – </w:t>
            </w:r>
            <w:proofErr w:type="spellStart"/>
            <w:r w:rsidRPr="00C06BAF">
              <w:t>youtube</w:t>
            </w:r>
            <w:proofErr w:type="spellEnd"/>
            <w:r w:rsidRPr="00C06BAF">
              <w:t xml:space="preserve"> history of Britain</w:t>
            </w:r>
            <w:r>
              <w:t xml:space="preserve"> </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7D4448F4"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64468D9" w14:textId="042386D7" w:rsidR="005772C5" w:rsidRPr="007B62A8" w:rsidRDefault="005772C5" w:rsidP="00C06BAF">
            <w:pPr>
              <w:rPr>
                <w:rStyle w:val="Hyperlink"/>
                <w:rFonts w:asciiTheme="majorHAnsi" w:hAnsiTheme="majorHAnsi" w:cstheme="majorHAnsi"/>
                <w:color w:val="000000" w:themeColor="text1"/>
                <w:sz w:val="21"/>
                <w:szCs w:val="21"/>
              </w:rPr>
            </w:pPr>
          </w:p>
        </w:tc>
        <w:tc>
          <w:tcPr>
            <w:tcW w:w="4262" w:type="dxa"/>
          </w:tcPr>
          <w:p w14:paraId="2BD514F4" w14:textId="4F26A44D" w:rsidR="00694492" w:rsidRPr="007B62A8" w:rsidRDefault="00694492" w:rsidP="00C06BAF">
            <w:pPr>
              <w:rPr>
                <w:i/>
                <w:iCs/>
                <w:sz w:val="21"/>
                <w:szCs w:val="21"/>
              </w:rPr>
            </w:pPr>
          </w:p>
        </w:tc>
        <w:tc>
          <w:tcPr>
            <w:tcW w:w="4263" w:type="dxa"/>
          </w:tcPr>
          <w:p w14:paraId="7EB030C8" w14:textId="58BBC5AF" w:rsidR="00694492" w:rsidRPr="009634F1" w:rsidRDefault="00694492" w:rsidP="005E2165">
            <w:pPr>
              <w:pStyle w:val="Default"/>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108F5660"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FCB4" w14:textId="77777777" w:rsidR="00FF1F6F" w:rsidRDefault="00FF1F6F" w:rsidP="00FF1F6F">
      <w:pPr>
        <w:spacing w:after="0" w:line="240" w:lineRule="auto"/>
      </w:pPr>
      <w:r>
        <w:separator/>
      </w:r>
    </w:p>
  </w:endnote>
  <w:endnote w:type="continuationSeparator" w:id="0">
    <w:p w14:paraId="4BC0C66D" w14:textId="77777777" w:rsidR="00FF1F6F" w:rsidRDefault="00FF1F6F" w:rsidP="00FF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29378" w14:textId="77777777" w:rsidR="00FF1F6F" w:rsidRDefault="00FF1F6F" w:rsidP="00FF1F6F">
      <w:pPr>
        <w:spacing w:after="0" w:line="240" w:lineRule="auto"/>
      </w:pPr>
      <w:r>
        <w:separator/>
      </w:r>
    </w:p>
  </w:footnote>
  <w:footnote w:type="continuationSeparator" w:id="0">
    <w:p w14:paraId="1A4F05BC" w14:textId="77777777" w:rsidR="00FF1F6F" w:rsidRDefault="00FF1F6F" w:rsidP="00FF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1E1A"/>
    <w:multiLevelType w:val="hybridMultilevel"/>
    <w:tmpl w:val="DC4A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2557"/>
    <w:multiLevelType w:val="hybridMultilevel"/>
    <w:tmpl w:val="62D6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77095"/>
    <w:multiLevelType w:val="hybridMultilevel"/>
    <w:tmpl w:val="2C9A80B0"/>
    <w:lvl w:ilvl="0" w:tplc="55D2D124">
      <w:start w:val="1"/>
      <w:numFmt w:val="decimal"/>
      <w:lvlText w:val="%1."/>
      <w:lvlJc w:val="left"/>
      <w:pPr>
        <w:ind w:left="760" w:hanging="360"/>
      </w:pPr>
      <w:rPr>
        <w:rFonts w:asciiTheme="majorHAnsi" w:eastAsiaTheme="minorHAnsi" w:hAnsiTheme="majorHAnsi" w:cstheme="majorHAns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9915CD8"/>
    <w:multiLevelType w:val="hybridMultilevel"/>
    <w:tmpl w:val="3AD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A0CDC"/>
    <w:multiLevelType w:val="hybridMultilevel"/>
    <w:tmpl w:val="59B6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54365"/>
    <w:multiLevelType w:val="hybridMultilevel"/>
    <w:tmpl w:val="3C36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EE1CCF"/>
    <w:multiLevelType w:val="hybridMultilevel"/>
    <w:tmpl w:val="C51AF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65025"/>
    <w:multiLevelType w:val="hybridMultilevel"/>
    <w:tmpl w:val="BF1C4A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286916"/>
    <w:multiLevelType w:val="hybridMultilevel"/>
    <w:tmpl w:val="B74691F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7"/>
  </w:num>
  <w:num w:numId="6">
    <w:abstractNumId w:val="8"/>
  </w:num>
  <w:num w:numId="7">
    <w:abstractNumId w:val="21"/>
  </w:num>
  <w:num w:numId="8">
    <w:abstractNumId w:val="12"/>
  </w:num>
  <w:num w:numId="9">
    <w:abstractNumId w:val="10"/>
  </w:num>
  <w:num w:numId="10">
    <w:abstractNumId w:val="18"/>
  </w:num>
  <w:num w:numId="11">
    <w:abstractNumId w:val="14"/>
  </w:num>
  <w:num w:numId="12">
    <w:abstractNumId w:val="4"/>
  </w:num>
  <w:num w:numId="13">
    <w:abstractNumId w:val="20"/>
  </w:num>
  <w:num w:numId="14">
    <w:abstractNumId w:val="6"/>
  </w:num>
  <w:num w:numId="15">
    <w:abstractNumId w:val="7"/>
  </w:num>
  <w:num w:numId="16">
    <w:abstractNumId w:val="9"/>
  </w:num>
  <w:num w:numId="17">
    <w:abstractNumId w:val="16"/>
  </w:num>
  <w:num w:numId="18">
    <w:abstractNumId w:val="19"/>
  </w:num>
  <w:num w:numId="19">
    <w:abstractNumId w:val="2"/>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DF1"/>
    <w:rsid w:val="00074FE5"/>
    <w:rsid w:val="00075D4E"/>
    <w:rsid w:val="000C49A6"/>
    <w:rsid w:val="000F7E95"/>
    <w:rsid w:val="00102035"/>
    <w:rsid w:val="0014633F"/>
    <w:rsid w:val="00160B3D"/>
    <w:rsid w:val="00187366"/>
    <w:rsid w:val="00193DF1"/>
    <w:rsid w:val="001E2101"/>
    <w:rsid w:val="001F56F7"/>
    <w:rsid w:val="0023248A"/>
    <w:rsid w:val="00270E44"/>
    <w:rsid w:val="002F2663"/>
    <w:rsid w:val="00312CF3"/>
    <w:rsid w:val="003543B2"/>
    <w:rsid w:val="0039480E"/>
    <w:rsid w:val="00401933"/>
    <w:rsid w:val="00417DDF"/>
    <w:rsid w:val="004353B7"/>
    <w:rsid w:val="004521BE"/>
    <w:rsid w:val="004575EB"/>
    <w:rsid w:val="00476D79"/>
    <w:rsid w:val="0048237D"/>
    <w:rsid w:val="00485CCE"/>
    <w:rsid w:val="00487279"/>
    <w:rsid w:val="004A1CF8"/>
    <w:rsid w:val="00556403"/>
    <w:rsid w:val="00571715"/>
    <w:rsid w:val="005772C5"/>
    <w:rsid w:val="00582754"/>
    <w:rsid w:val="005B7D09"/>
    <w:rsid w:val="005E13EB"/>
    <w:rsid w:val="005E2165"/>
    <w:rsid w:val="00605EE3"/>
    <w:rsid w:val="0067766B"/>
    <w:rsid w:val="006906BB"/>
    <w:rsid w:val="00694492"/>
    <w:rsid w:val="006B6192"/>
    <w:rsid w:val="006F0AF7"/>
    <w:rsid w:val="00706031"/>
    <w:rsid w:val="0072046E"/>
    <w:rsid w:val="007211E6"/>
    <w:rsid w:val="00756436"/>
    <w:rsid w:val="00792EC3"/>
    <w:rsid w:val="007B62A8"/>
    <w:rsid w:val="007C65EF"/>
    <w:rsid w:val="0082196E"/>
    <w:rsid w:val="00856C4D"/>
    <w:rsid w:val="00863D99"/>
    <w:rsid w:val="00880E70"/>
    <w:rsid w:val="0089597A"/>
    <w:rsid w:val="008B58D2"/>
    <w:rsid w:val="008B58EA"/>
    <w:rsid w:val="008F0EB7"/>
    <w:rsid w:val="009261A3"/>
    <w:rsid w:val="009634F1"/>
    <w:rsid w:val="00983EEB"/>
    <w:rsid w:val="009A5C73"/>
    <w:rsid w:val="00A0000A"/>
    <w:rsid w:val="00A35F6F"/>
    <w:rsid w:val="00A619DC"/>
    <w:rsid w:val="00AD2ACB"/>
    <w:rsid w:val="00B51B97"/>
    <w:rsid w:val="00B57CA4"/>
    <w:rsid w:val="00B76F77"/>
    <w:rsid w:val="00BC2B3E"/>
    <w:rsid w:val="00BD3DDB"/>
    <w:rsid w:val="00BE1D9F"/>
    <w:rsid w:val="00BE296E"/>
    <w:rsid w:val="00C03E79"/>
    <w:rsid w:val="00C06BAF"/>
    <w:rsid w:val="00C12703"/>
    <w:rsid w:val="00C4707A"/>
    <w:rsid w:val="00C47FA1"/>
    <w:rsid w:val="00C91963"/>
    <w:rsid w:val="00C93813"/>
    <w:rsid w:val="00C948CA"/>
    <w:rsid w:val="00CD089E"/>
    <w:rsid w:val="00D03071"/>
    <w:rsid w:val="00D24465"/>
    <w:rsid w:val="00D37CB0"/>
    <w:rsid w:val="00DA5FC5"/>
    <w:rsid w:val="00DE0126"/>
    <w:rsid w:val="00E05036"/>
    <w:rsid w:val="00E1278E"/>
    <w:rsid w:val="00E27DD2"/>
    <w:rsid w:val="00E3124A"/>
    <w:rsid w:val="00E40919"/>
    <w:rsid w:val="00E905FA"/>
    <w:rsid w:val="00F06587"/>
    <w:rsid w:val="00F10FF6"/>
    <w:rsid w:val="00F708F2"/>
    <w:rsid w:val="00F90E42"/>
    <w:rsid w:val="00FF1F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Default">
    <w:name w:val="Default"/>
    <w:rsid w:val="00C4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Charlotte Vernon</cp:lastModifiedBy>
  <cp:revision>2</cp:revision>
  <cp:lastPrinted>2017-06-14T11:36:00Z</cp:lastPrinted>
  <dcterms:created xsi:type="dcterms:W3CDTF">2020-11-04T16:27:00Z</dcterms:created>
  <dcterms:modified xsi:type="dcterms:W3CDTF">2020-11-04T16:27:00Z</dcterms:modified>
</cp:coreProperties>
</file>