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9266" w14:textId="5DFB468C" w:rsidR="006A0CD0" w:rsidRDefault="006A0CD0">
      <w:r w:rsidRPr="009837C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9369" wp14:editId="71B77F78">
                <wp:simplePos x="0" y="0"/>
                <wp:positionH relativeFrom="column">
                  <wp:posOffset>-666750</wp:posOffset>
                </wp:positionH>
                <wp:positionV relativeFrom="paragraph">
                  <wp:posOffset>12109</wp:posOffset>
                </wp:positionV>
                <wp:extent cx="12607636" cy="45719"/>
                <wp:effectExtent l="0" t="0" r="3810" b="0"/>
                <wp:wrapNone/>
                <wp:docPr id="5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3463A6-C263-4CAB-88B9-6E9D11B2DC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7636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25000">
                              <a:srgbClr val="FFF200"/>
                            </a:gs>
                            <a:gs pos="61000">
                              <a:srgbClr val="FF7A00"/>
                            </a:gs>
                            <a:gs pos="100000">
                              <a:srgbClr val="FF03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4EB0" id="Rectangle 9" o:spid="_x0000_s1026" style="position:absolute;margin-left:-52.5pt;margin-top:.95pt;width:99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" fillcolor="#fff200" stroked="f" strokeweight="2pt">
                <v:fill color2="#ff0300" rotate="t" angle="90" colors="0 #fff200;.25 #fff200;39977f #ff7a00;1 #ff0300" focus="100%" type="gradient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0"/>
        <w:gridCol w:w="1349"/>
        <w:gridCol w:w="1303"/>
        <w:gridCol w:w="1267"/>
        <w:gridCol w:w="1267"/>
        <w:gridCol w:w="1269"/>
        <w:gridCol w:w="1270"/>
        <w:gridCol w:w="1270"/>
        <w:gridCol w:w="1270"/>
      </w:tblGrid>
      <w:tr w:rsidR="007176EA" w14:paraId="31753F56" w14:textId="77777777" w:rsidTr="004A0F3E">
        <w:trPr>
          <w:trHeight w:val="933"/>
        </w:trPr>
        <w:tc>
          <w:tcPr>
            <w:tcW w:w="2562" w:type="dxa"/>
            <w:gridSpan w:val="2"/>
          </w:tcPr>
          <w:p w14:paraId="1FC4310E" w14:textId="77777777" w:rsidR="006A0CD0" w:rsidRDefault="006A0CD0">
            <w:r>
              <w:t>Autumn 1:</w:t>
            </w:r>
          </w:p>
          <w:p w14:paraId="449A96B7" w14:textId="77777777" w:rsidR="006A0CD0" w:rsidRPr="006A0CD0" w:rsidRDefault="006A0CD0" w:rsidP="006A0CD0">
            <w:pPr>
              <w:rPr>
                <w:rFonts w:ascii="Rockwell Condensed" w:hAnsi="Rockwell Condensed"/>
                <w:b/>
                <w:bCs/>
                <w:sz w:val="18"/>
                <w:szCs w:val="18"/>
              </w:rPr>
            </w:pPr>
            <w:r w:rsidRPr="006A0CD0">
              <w:rPr>
                <w:rFonts w:ascii="Rockwell Condensed" w:hAnsi="Rockwell Condensed"/>
                <w:b/>
                <w:bCs/>
                <w:sz w:val="18"/>
                <w:szCs w:val="18"/>
              </w:rPr>
              <w:t>‘Origins of Fiction’</w:t>
            </w:r>
          </w:p>
          <w:p w14:paraId="7994BFE5" w14:textId="77777777" w:rsidR="006A0CD0" w:rsidRPr="006A0CD0" w:rsidRDefault="006A0CD0" w:rsidP="006A0CD0">
            <w:pPr>
              <w:rPr>
                <w:color w:val="FF0000"/>
                <w:sz w:val="18"/>
                <w:szCs w:val="18"/>
              </w:rPr>
            </w:pPr>
            <w:r w:rsidRPr="006A0CD0">
              <w:rPr>
                <w:color w:val="FF0000"/>
                <w:sz w:val="18"/>
                <w:szCs w:val="18"/>
              </w:rPr>
              <w:t xml:space="preserve">ALTP FOCUS: Reading </w:t>
            </w:r>
          </w:p>
          <w:p w14:paraId="5A92B717" w14:textId="77777777" w:rsidR="006A0CD0" w:rsidRPr="006A0CD0" w:rsidRDefault="006A0CD0" w:rsidP="006A0CD0">
            <w:pPr>
              <w:rPr>
                <w:b/>
                <w:bCs/>
                <w:sz w:val="18"/>
                <w:szCs w:val="18"/>
                <w:u w:val="single"/>
              </w:rPr>
            </w:pPr>
            <w:r w:rsidRPr="006A0CD0">
              <w:rPr>
                <w:b/>
                <w:bCs/>
                <w:sz w:val="18"/>
                <w:szCs w:val="18"/>
                <w:u w:val="single"/>
              </w:rPr>
              <w:t>Myths and Legends</w:t>
            </w:r>
          </w:p>
          <w:p w14:paraId="066317A8" w14:textId="32D7E6F6" w:rsidR="006A0CD0" w:rsidRDefault="006A0CD0"/>
        </w:tc>
        <w:tc>
          <w:tcPr>
            <w:tcW w:w="2561" w:type="dxa"/>
            <w:gridSpan w:val="2"/>
          </w:tcPr>
          <w:p w14:paraId="31255311" w14:textId="77777777" w:rsidR="006A0CD0" w:rsidRDefault="006A0CD0">
            <w:r>
              <w:t>Autumn 2</w:t>
            </w:r>
          </w:p>
          <w:p w14:paraId="7FF086B8" w14:textId="77777777" w:rsidR="00E57308" w:rsidRPr="006A0CD0" w:rsidRDefault="00E57308" w:rsidP="00E57308">
            <w:pPr>
              <w:rPr>
                <w:rFonts w:ascii="Rockwell Condensed" w:hAnsi="Rockwell Condensed"/>
                <w:b/>
                <w:bCs/>
                <w:sz w:val="18"/>
                <w:szCs w:val="18"/>
              </w:rPr>
            </w:pPr>
            <w:r w:rsidRPr="006A0CD0">
              <w:rPr>
                <w:rFonts w:ascii="Rockwell Condensed" w:hAnsi="Rockwell Condensed"/>
                <w:b/>
                <w:bCs/>
                <w:sz w:val="18"/>
                <w:szCs w:val="18"/>
              </w:rPr>
              <w:t>‘Origins of Fiction’</w:t>
            </w:r>
          </w:p>
          <w:p w14:paraId="496D2EFD" w14:textId="276DDA5E" w:rsidR="00E57308" w:rsidRPr="006A0CD0" w:rsidRDefault="00E57308" w:rsidP="00E57308">
            <w:pPr>
              <w:rPr>
                <w:color w:val="FF0000"/>
                <w:sz w:val="18"/>
                <w:szCs w:val="18"/>
              </w:rPr>
            </w:pPr>
            <w:r w:rsidRPr="006A0CD0">
              <w:rPr>
                <w:color w:val="FF0000"/>
                <w:sz w:val="18"/>
                <w:szCs w:val="18"/>
              </w:rPr>
              <w:t xml:space="preserve">ALTP FOCUS: </w:t>
            </w:r>
            <w:r>
              <w:rPr>
                <w:color w:val="FF0000"/>
                <w:sz w:val="18"/>
                <w:szCs w:val="18"/>
              </w:rPr>
              <w:t>Writing</w:t>
            </w:r>
            <w:r w:rsidRPr="006A0CD0">
              <w:rPr>
                <w:color w:val="FF0000"/>
                <w:sz w:val="18"/>
                <w:szCs w:val="18"/>
              </w:rPr>
              <w:t xml:space="preserve"> </w:t>
            </w:r>
          </w:p>
          <w:p w14:paraId="7CB07A58" w14:textId="77777777" w:rsidR="00E57308" w:rsidRPr="006A0CD0" w:rsidRDefault="00E57308" w:rsidP="00E57308">
            <w:pPr>
              <w:rPr>
                <w:b/>
                <w:bCs/>
                <w:sz w:val="18"/>
                <w:szCs w:val="18"/>
                <w:u w:val="single"/>
              </w:rPr>
            </w:pPr>
            <w:r w:rsidRPr="006A0CD0">
              <w:rPr>
                <w:b/>
                <w:bCs/>
                <w:sz w:val="18"/>
                <w:szCs w:val="18"/>
                <w:u w:val="single"/>
              </w:rPr>
              <w:t>Myths and Legends</w:t>
            </w:r>
          </w:p>
          <w:p w14:paraId="228F49D2" w14:textId="0F259DD9" w:rsidR="00E57308" w:rsidRDefault="00E57308"/>
        </w:tc>
        <w:tc>
          <w:tcPr>
            <w:tcW w:w="2652" w:type="dxa"/>
            <w:gridSpan w:val="2"/>
          </w:tcPr>
          <w:p w14:paraId="4DC4576E" w14:textId="77777777" w:rsidR="006A0CD0" w:rsidRDefault="006A0CD0">
            <w:r>
              <w:t>Spring 1</w:t>
            </w:r>
          </w:p>
          <w:p w14:paraId="79543A3B" w14:textId="77777777" w:rsidR="00ED68E9" w:rsidRPr="00D85FC8" w:rsidRDefault="00ED68E9" w:rsidP="00ED68E9">
            <w:pPr>
              <w:rPr>
                <w:rFonts w:ascii="Rockwell Condensed" w:hAnsi="Rockwell Condensed"/>
                <w:b/>
                <w:bCs/>
                <w:sz w:val="18"/>
                <w:szCs w:val="18"/>
              </w:rPr>
            </w:pPr>
            <w:r w:rsidRPr="00D85FC8">
              <w:rPr>
                <w:rFonts w:ascii="Rockwell Condensed" w:hAnsi="Rockwell Condensed"/>
                <w:b/>
                <w:bCs/>
                <w:sz w:val="18"/>
                <w:szCs w:val="18"/>
              </w:rPr>
              <w:t>‘Creating a Setting’</w:t>
            </w:r>
          </w:p>
          <w:p w14:paraId="2F4AE1EB" w14:textId="77777777" w:rsidR="00ED68E9" w:rsidRPr="00D85FC8" w:rsidRDefault="00ED68E9" w:rsidP="00ED68E9">
            <w:pPr>
              <w:rPr>
                <w:color w:val="FF0000"/>
                <w:sz w:val="18"/>
                <w:szCs w:val="18"/>
              </w:rPr>
            </w:pPr>
            <w:r w:rsidRPr="00D85FC8">
              <w:rPr>
                <w:color w:val="FF0000"/>
                <w:sz w:val="18"/>
                <w:szCs w:val="18"/>
              </w:rPr>
              <w:t>ATLP Focus: Reading</w:t>
            </w:r>
          </w:p>
          <w:p w14:paraId="66C9D135" w14:textId="1ED42C6D" w:rsidR="00ED68E9" w:rsidRPr="00D85FC8" w:rsidRDefault="00ED68E9" w:rsidP="00ED68E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SYNOPTIC SHAKESPEARE </w:t>
            </w:r>
          </w:p>
          <w:p w14:paraId="6E0FC332" w14:textId="6EC9C62B" w:rsidR="00ED68E9" w:rsidRDefault="00ED68E9"/>
        </w:tc>
        <w:tc>
          <w:tcPr>
            <w:tcW w:w="2534" w:type="dxa"/>
            <w:gridSpan w:val="2"/>
          </w:tcPr>
          <w:p w14:paraId="3628471C" w14:textId="77777777" w:rsidR="006A0CD0" w:rsidRDefault="006A0CD0">
            <w:r>
              <w:t>Spring 2</w:t>
            </w:r>
          </w:p>
          <w:p w14:paraId="423CDFDA" w14:textId="77777777" w:rsidR="00ED68E9" w:rsidRPr="00D85FC8" w:rsidRDefault="00ED68E9" w:rsidP="00ED68E9">
            <w:pPr>
              <w:rPr>
                <w:rFonts w:ascii="Rockwell Condensed" w:hAnsi="Rockwell Condensed"/>
                <w:b/>
                <w:bCs/>
                <w:sz w:val="18"/>
                <w:szCs w:val="18"/>
              </w:rPr>
            </w:pPr>
            <w:r w:rsidRPr="00D85FC8">
              <w:rPr>
                <w:rFonts w:ascii="Rockwell Condensed" w:hAnsi="Rockwell Condensed"/>
                <w:b/>
                <w:bCs/>
                <w:sz w:val="18"/>
                <w:szCs w:val="18"/>
              </w:rPr>
              <w:t>‘Creating a Setting’</w:t>
            </w:r>
          </w:p>
          <w:p w14:paraId="34649081" w14:textId="77777777" w:rsidR="00ED68E9" w:rsidRPr="00D85FC8" w:rsidRDefault="00ED68E9" w:rsidP="00ED68E9">
            <w:pPr>
              <w:rPr>
                <w:color w:val="FF0000"/>
                <w:sz w:val="18"/>
                <w:szCs w:val="18"/>
              </w:rPr>
            </w:pPr>
            <w:r w:rsidRPr="00D85FC8">
              <w:rPr>
                <w:color w:val="FF0000"/>
                <w:sz w:val="18"/>
                <w:szCs w:val="18"/>
              </w:rPr>
              <w:t>ATLP Focus: Writing</w:t>
            </w:r>
          </w:p>
          <w:p w14:paraId="11086455" w14:textId="77777777" w:rsidR="00ED68E9" w:rsidRPr="00D85FC8" w:rsidRDefault="00ED68E9" w:rsidP="00ED68E9">
            <w:pPr>
              <w:rPr>
                <w:b/>
                <w:bCs/>
                <w:sz w:val="18"/>
                <w:szCs w:val="18"/>
                <w:u w:val="single"/>
              </w:rPr>
            </w:pPr>
            <w:r w:rsidRPr="00D85FC8">
              <w:rPr>
                <w:b/>
                <w:bCs/>
                <w:sz w:val="18"/>
                <w:szCs w:val="18"/>
                <w:u w:val="single"/>
              </w:rPr>
              <w:t xml:space="preserve">‘Genre Fiction’- </w:t>
            </w:r>
          </w:p>
          <w:p w14:paraId="6DC0410F" w14:textId="3569C7F1" w:rsidR="00ED68E9" w:rsidRDefault="00ED68E9"/>
        </w:tc>
        <w:tc>
          <w:tcPr>
            <w:tcW w:w="2539" w:type="dxa"/>
            <w:gridSpan w:val="2"/>
          </w:tcPr>
          <w:p w14:paraId="7658DE46" w14:textId="77777777" w:rsidR="006A0CD0" w:rsidRDefault="006A0CD0">
            <w:r>
              <w:t>Summer 1</w:t>
            </w:r>
          </w:p>
          <w:p w14:paraId="4A540B0E" w14:textId="77777777" w:rsidR="00846B7C" w:rsidRPr="00846B7C" w:rsidRDefault="00846B7C" w:rsidP="00846B7C">
            <w:pPr>
              <w:rPr>
                <w:rFonts w:ascii="Rockwell Condensed" w:hAnsi="Rockwell Condensed"/>
                <w:b/>
                <w:bCs/>
                <w:sz w:val="18"/>
                <w:szCs w:val="18"/>
              </w:rPr>
            </w:pPr>
            <w:r w:rsidRPr="00846B7C">
              <w:rPr>
                <w:rFonts w:ascii="Rockwell Condensed" w:hAnsi="Rockwell Condensed"/>
                <w:b/>
                <w:bCs/>
                <w:sz w:val="18"/>
                <w:szCs w:val="18"/>
              </w:rPr>
              <w:t>‘Character Development’</w:t>
            </w:r>
          </w:p>
          <w:p w14:paraId="1538FA05" w14:textId="77777777" w:rsidR="00846B7C" w:rsidRPr="00846B7C" w:rsidRDefault="00846B7C" w:rsidP="00846B7C">
            <w:pPr>
              <w:rPr>
                <w:color w:val="FF0000"/>
                <w:sz w:val="18"/>
                <w:szCs w:val="18"/>
              </w:rPr>
            </w:pPr>
            <w:r w:rsidRPr="00846B7C">
              <w:rPr>
                <w:color w:val="FF0000"/>
                <w:sz w:val="18"/>
                <w:szCs w:val="18"/>
              </w:rPr>
              <w:t xml:space="preserve">ATLP Focus: Reading </w:t>
            </w:r>
          </w:p>
          <w:p w14:paraId="45DC54CD" w14:textId="77777777" w:rsidR="00846B7C" w:rsidRPr="00846B7C" w:rsidRDefault="00846B7C" w:rsidP="00846B7C">
            <w:pPr>
              <w:rPr>
                <w:b/>
                <w:bCs/>
                <w:sz w:val="18"/>
                <w:szCs w:val="18"/>
                <w:u w:val="single"/>
              </w:rPr>
            </w:pPr>
            <w:r w:rsidRPr="00846B7C">
              <w:rPr>
                <w:b/>
                <w:bCs/>
                <w:sz w:val="18"/>
                <w:szCs w:val="18"/>
                <w:u w:val="single"/>
              </w:rPr>
              <w:t>‘Bone Talk’</w:t>
            </w:r>
          </w:p>
          <w:p w14:paraId="038CCBDF" w14:textId="7DF9E1D0" w:rsidR="00846B7C" w:rsidRDefault="00846B7C"/>
        </w:tc>
        <w:tc>
          <w:tcPr>
            <w:tcW w:w="2540" w:type="dxa"/>
            <w:gridSpan w:val="2"/>
          </w:tcPr>
          <w:p w14:paraId="7BF8334F" w14:textId="77777777" w:rsidR="006A0CD0" w:rsidRDefault="006A0CD0">
            <w:r>
              <w:t>Summer 2</w:t>
            </w:r>
          </w:p>
          <w:p w14:paraId="0583BA82" w14:textId="77777777" w:rsidR="00846B7C" w:rsidRPr="00846B7C" w:rsidRDefault="00846B7C" w:rsidP="00846B7C">
            <w:pPr>
              <w:rPr>
                <w:rFonts w:ascii="Rockwell Condensed" w:hAnsi="Rockwell Condensed"/>
                <w:b/>
                <w:bCs/>
                <w:sz w:val="18"/>
                <w:szCs w:val="18"/>
              </w:rPr>
            </w:pPr>
            <w:r w:rsidRPr="00846B7C">
              <w:rPr>
                <w:rFonts w:ascii="Rockwell Condensed" w:hAnsi="Rockwell Condensed"/>
                <w:b/>
                <w:bCs/>
                <w:sz w:val="18"/>
                <w:szCs w:val="18"/>
              </w:rPr>
              <w:t>‘Character Development’</w:t>
            </w:r>
          </w:p>
          <w:p w14:paraId="2996C2CD" w14:textId="77777777" w:rsidR="00846B7C" w:rsidRPr="00846B7C" w:rsidRDefault="00846B7C" w:rsidP="00846B7C">
            <w:pPr>
              <w:rPr>
                <w:color w:val="FF0000"/>
                <w:sz w:val="18"/>
                <w:szCs w:val="18"/>
              </w:rPr>
            </w:pPr>
            <w:r w:rsidRPr="00846B7C">
              <w:rPr>
                <w:color w:val="FF0000"/>
                <w:sz w:val="18"/>
                <w:szCs w:val="18"/>
              </w:rPr>
              <w:t>ATLP Focus: Writing</w:t>
            </w:r>
          </w:p>
          <w:p w14:paraId="17BC0772" w14:textId="77777777" w:rsidR="00846B7C" w:rsidRPr="00846B7C" w:rsidRDefault="00846B7C" w:rsidP="00846B7C">
            <w:pPr>
              <w:rPr>
                <w:sz w:val="18"/>
                <w:szCs w:val="18"/>
              </w:rPr>
            </w:pPr>
            <w:r w:rsidRPr="00846B7C">
              <w:rPr>
                <w:b/>
                <w:bCs/>
                <w:sz w:val="18"/>
                <w:szCs w:val="18"/>
                <w:u w:val="single"/>
              </w:rPr>
              <w:t>Modern Heroes: RHETORIC (speeches)</w:t>
            </w:r>
          </w:p>
          <w:p w14:paraId="4B75E162" w14:textId="1523080A" w:rsidR="00846B7C" w:rsidRDefault="00846B7C"/>
        </w:tc>
      </w:tr>
      <w:tr w:rsidR="007176EA" w14:paraId="3B8B8B39" w14:textId="77777777" w:rsidTr="004A0F3E">
        <w:trPr>
          <w:trHeight w:val="968"/>
        </w:trPr>
        <w:tc>
          <w:tcPr>
            <w:tcW w:w="2562" w:type="dxa"/>
            <w:gridSpan w:val="2"/>
          </w:tcPr>
          <w:p w14:paraId="7A0B8195" w14:textId="6A814651" w:rsidR="006A0CD0" w:rsidRPr="007176EA" w:rsidRDefault="006A0CD0" w:rsidP="00ED68E9">
            <w:pPr>
              <w:jc w:val="both"/>
              <w:rPr>
                <w:rFonts w:ascii="Gill Sans MT" w:hAnsi="Gill Sans MT"/>
              </w:rPr>
            </w:pPr>
            <w:r w:rsidRPr="007176EA">
              <w:rPr>
                <w:rFonts w:ascii="Gill Sans MT" w:hAnsi="Gill Sans MT"/>
              </w:rPr>
              <w:t xml:space="preserve">In this unit, students will </w:t>
            </w:r>
            <w:r w:rsidR="00E57308" w:rsidRPr="007176EA">
              <w:rPr>
                <w:rFonts w:ascii="Gill Sans MT" w:hAnsi="Gill Sans MT"/>
              </w:rPr>
              <w:t>read a range of myths from Ancient Greece, exploring the different heroes and their epic journeys, and the unusual creatures they encounter on their way.</w:t>
            </w:r>
            <w:r w:rsidR="00ED68E9" w:rsidRPr="007176EA">
              <w:rPr>
                <w:rFonts w:ascii="Gill Sans MT" w:hAnsi="Gill Sans MT"/>
              </w:rPr>
              <w:t xml:space="preserve"> Students will study the Olympians, meet heroes like Achilles and Perseus and creatures including Medusa and the Minotaur.</w:t>
            </w:r>
          </w:p>
        </w:tc>
        <w:tc>
          <w:tcPr>
            <w:tcW w:w="2561" w:type="dxa"/>
            <w:gridSpan w:val="2"/>
          </w:tcPr>
          <w:p w14:paraId="26772BF0" w14:textId="1B5810B8" w:rsidR="006A0CD0" w:rsidRPr="007176EA" w:rsidRDefault="00E57308" w:rsidP="00ED68E9">
            <w:pPr>
              <w:jc w:val="both"/>
              <w:rPr>
                <w:rFonts w:ascii="Gill Sans MT" w:hAnsi="Gill Sans MT"/>
              </w:rPr>
            </w:pPr>
            <w:r w:rsidRPr="007176EA">
              <w:rPr>
                <w:rFonts w:ascii="Gill Sans MT" w:hAnsi="Gill Sans MT"/>
              </w:rPr>
              <w:t xml:space="preserve">Using their knowledge </w:t>
            </w:r>
            <w:r w:rsidR="006F1448" w:rsidRPr="007176EA">
              <w:rPr>
                <w:rFonts w:ascii="Gill Sans MT" w:hAnsi="Gill Sans MT"/>
              </w:rPr>
              <w:t xml:space="preserve">of the conventions of myths </w:t>
            </w:r>
            <w:r w:rsidRPr="007176EA">
              <w:rPr>
                <w:rFonts w:ascii="Gill Sans MT" w:hAnsi="Gill Sans MT"/>
              </w:rPr>
              <w:t xml:space="preserve">from last half term, students will </w:t>
            </w:r>
            <w:r w:rsidR="006F1448" w:rsidRPr="007176EA">
              <w:rPr>
                <w:rFonts w:ascii="Gill Sans MT" w:hAnsi="Gill Sans MT"/>
              </w:rPr>
              <w:t xml:space="preserve">work to create their very own mythical narratives. They will create their own heroes, </w:t>
            </w:r>
            <w:proofErr w:type="gramStart"/>
            <w:r w:rsidR="006F1448" w:rsidRPr="007176EA">
              <w:rPr>
                <w:rFonts w:ascii="Gill Sans MT" w:hAnsi="Gill Sans MT"/>
              </w:rPr>
              <w:t>monsters</w:t>
            </w:r>
            <w:proofErr w:type="gramEnd"/>
            <w:r w:rsidR="006F1448" w:rsidRPr="007176EA">
              <w:rPr>
                <w:rFonts w:ascii="Gill Sans MT" w:hAnsi="Gill Sans MT"/>
              </w:rPr>
              <w:t xml:space="preserve"> and journeys alongside developing their creative writing skills. </w:t>
            </w:r>
          </w:p>
        </w:tc>
        <w:tc>
          <w:tcPr>
            <w:tcW w:w="2652" w:type="dxa"/>
            <w:gridSpan w:val="2"/>
          </w:tcPr>
          <w:p w14:paraId="44DD64F0" w14:textId="19AA1604" w:rsidR="006A0CD0" w:rsidRPr="007176EA" w:rsidRDefault="00ED68E9">
            <w:pPr>
              <w:rPr>
                <w:rFonts w:ascii="Gill Sans MT" w:hAnsi="Gill Sans MT"/>
              </w:rPr>
            </w:pPr>
            <w:r w:rsidRPr="007176EA">
              <w:rPr>
                <w:rFonts w:ascii="Gill Sans MT" w:hAnsi="Gill Sans MT"/>
              </w:rPr>
              <w:t xml:space="preserve">In this unit, students will be introduced to the world and work of William Shakespeare. They will explore </w:t>
            </w:r>
            <w:r w:rsidR="00846B7C" w:rsidRPr="007176EA">
              <w:rPr>
                <w:rFonts w:ascii="Gill Sans MT" w:hAnsi="Gill Sans MT"/>
              </w:rPr>
              <w:t>what life was like in</w:t>
            </w:r>
            <w:r w:rsidRPr="007176EA">
              <w:rPr>
                <w:rFonts w:ascii="Gill Sans MT" w:hAnsi="Gill Sans MT"/>
              </w:rPr>
              <w:t xml:space="preserve"> Elizabethan England, </w:t>
            </w:r>
            <w:r w:rsidR="00846B7C" w:rsidRPr="007176EA">
              <w:rPr>
                <w:rFonts w:ascii="Gill Sans MT" w:hAnsi="Gill Sans MT"/>
              </w:rPr>
              <w:t xml:space="preserve">past </w:t>
            </w:r>
            <w:proofErr w:type="gramStart"/>
            <w:r w:rsidR="00846B7C" w:rsidRPr="007176EA">
              <w:rPr>
                <w:rFonts w:ascii="Gill Sans MT" w:hAnsi="Gill Sans MT"/>
              </w:rPr>
              <w:t>times</w:t>
            </w:r>
            <w:proofErr w:type="gramEnd"/>
            <w:r w:rsidR="00846B7C" w:rsidRPr="007176EA">
              <w:rPr>
                <w:rFonts w:ascii="Gill Sans MT" w:hAnsi="Gill Sans MT"/>
              </w:rPr>
              <w:t xml:space="preserve"> and </w:t>
            </w:r>
            <w:r w:rsidRPr="007176EA">
              <w:rPr>
                <w:rFonts w:ascii="Gill Sans MT" w:hAnsi="Gill Sans MT"/>
              </w:rPr>
              <w:t>theatre</w:t>
            </w:r>
            <w:r w:rsidR="00846B7C" w:rsidRPr="007176EA">
              <w:rPr>
                <w:rFonts w:ascii="Gill Sans MT" w:hAnsi="Gill Sans MT"/>
              </w:rPr>
              <w:t>, and also begin to explore extracts from some of Shakespeare’s most famous works. This includes speeches from Lady Macbeth, Hamlet and King Lear.</w:t>
            </w:r>
            <w:r w:rsidRPr="007176E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534" w:type="dxa"/>
            <w:gridSpan w:val="2"/>
          </w:tcPr>
          <w:p w14:paraId="7C76215A" w14:textId="0039ABE0" w:rsidR="006A0CD0" w:rsidRPr="007176EA" w:rsidRDefault="007176EA">
            <w:pPr>
              <w:rPr>
                <w:rFonts w:ascii="Gill Sans MT" w:hAnsi="Gill Sans MT"/>
              </w:rPr>
            </w:pPr>
            <w:r w:rsidRPr="007176EA">
              <w:rPr>
                <w:rFonts w:ascii="Gill Sans MT" w:hAnsi="Gill Sans MT"/>
              </w:rPr>
              <w:t>This unit exposes students to a range of different 20</w:t>
            </w:r>
            <w:r w:rsidRPr="007176EA">
              <w:rPr>
                <w:rFonts w:ascii="Gill Sans MT" w:hAnsi="Gill Sans MT"/>
                <w:vertAlign w:val="superscript"/>
              </w:rPr>
              <w:t>th</w:t>
            </w:r>
            <w:r w:rsidRPr="007176EA">
              <w:rPr>
                <w:rFonts w:ascii="Gill Sans MT" w:hAnsi="Gill Sans MT"/>
              </w:rPr>
              <w:t xml:space="preserve"> and 21</w:t>
            </w:r>
            <w:r w:rsidRPr="007176EA">
              <w:rPr>
                <w:rFonts w:ascii="Gill Sans MT" w:hAnsi="Gill Sans MT"/>
                <w:vertAlign w:val="superscript"/>
              </w:rPr>
              <w:t>st</w:t>
            </w:r>
            <w:r w:rsidRPr="007176EA">
              <w:rPr>
                <w:rFonts w:ascii="Gill Sans MT" w:hAnsi="Gill Sans MT"/>
              </w:rPr>
              <w:t xml:space="preserve"> century texts from a plethora of different genres. Students will learn the conventions of these genres through their reading, before using this knowledge to produce their own piece of writing appropriate to a chosen genre. </w:t>
            </w:r>
          </w:p>
        </w:tc>
        <w:tc>
          <w:tcPr>
            <w:tcW w:w="2539" w:type="dxa"/>
            <w:gridSpan w:val="2"/>
          </w:tcPr>
          <w:p w14:paraId="5AEA758D" w14:textId="336A351B" w:rsidR="006A0CD0" w:rsidRPr="007176EA" w:rsidRDefault="007176EA">
            <w:pPr>
              <w:rPr>
                <w:rFonts w:ascii="Gill Sans MT" w:hAnsi="Gill Sans MT"/>
              </w:rPr>
            </w:pPr>
            <w:r w:rsidRPr="007176EA">
              <w:rPr>
                <w:rFonts w:ascii="Gill Sans MT" w:hAnsi="Gill Sans MT"/>
              </w:rPr>
              <w:t>Students</w:t>
            </w:r>
            <w:r w:rsidR="00715A84">
              <w:rPr>
                <w:rFonts w:ascii="Gill Sans MT" w:hAnsi="Gill Sans MT"/>
              </w:rPr>
              <w:t>’</w:t>
            </w:r>
            <w:r w:rsidRPr="007176EA">
              <w:rPr>
                <w:rFonts w:ascii="Gill Sans MT" w:hAnsi="Gill Sans MT"/>
              </w:rPr>
              <w:t xml:space="preserve"> novel study in Year 7 is ‘Bone Talk’ by Candy </w:t>
            </w:r>
            <w:proofErr w:type="spellStart"/>
            <w:r w:rsidRPr="007176EA">
              <w:rPr>
                <w:rFonts w:ascii="Gill Sans MT" w:hAnsi="Gill Sans MT"/>
              </w:rPr>
              <w:t>Gourlay</w:t>
            </w:r>
            <w:proofErr w:type="spellEnd"/>
            <w:r w:rsidRPr="007176EA">
              <w:rPr>
                <w:rFonts w:ascii="Gill Sans MT" w:hAnsi="Gill Sans MT"/>
              </w:rPr>
              <w:t xml:space="preserve">. </w:t>
            </w:r>
            <w:r w:rsidR="00715A84" w:rsidRPr="00715A84">
              <w:rPr>
                <w:rFonts w:ascii="Gill Sans MT" w:hAnsi="Gill Sans MT"/>
              </w:rPr>
              <w:t>'This novel explores traditional cultures and values alongside the themes of growing up and colonisation.</w:t>
            </w:r>
          </w:p>
        </w:tc>
        <w:tc>
          <w:tcPr>
            <w:tcW w:w="2540" w:type="dxa"/>
            <w:gridSpan w:val="2"/>
          </w:tcPr>
          <w:p w14:paraId="6FAC85CD" w14:textId="5CC5AD01" w:rsidR="006A0CD0" w:rsidRPr="007176EA" w:rsidRDefault="00C322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this unit, students will explore the art of rhetoric- or persuasion. They will study from its inception in Ancient </w:t>
            </w:r>
            <w:proofErr w:type="gramStart"/>
            <w:r>
              <w:rPr>
                <w:rFonts w:ascii="Gill Sans MT" w:hAnsi="Gill Sans MT"/>
              </w:rPr>
              <w:t>Greece, and</w:t>
            </w:r>
            <w:proofErr w:type="gramEnd"/>
            <w:r>
              <w:rPr>
                <w:rFonts w:ascii="Gill Sans MT" w:hAnsi="Gill Sans MT"/>
              </w:rPr>
              <w:t xml:space="preserve"> explore how the same techniques are still used in modern speeches today. Students will also </w:t>
            </w:r>
            <w:proofErr w:type="gramStart"/>
            <w:r>
              <w:rPr>
                <w:rFonts w:ascii="Gill Sans MT" w:hAnsi="Gill Sans MT"/>
              </w:rPr>
              <w:t>have the opportunity to</w:t>
            </w:r>
            <w:proofErr w:type="gramEnd"/>
            <w:r>
              <w:rPr>
                <w:rFonts w:ascii="Gill Sans MT" w:hAnsi="Gill Sans MT"/>
              </w:rPr>
              <w:t xml:space="preserve"> write and perform their own speeches. </w:t>
            </w:r>
          </w:p>
        </w:tc>
      </w:tr>
      <w:tr w:rsidR="00C32235" w14:paraId="1C653CFF" w14:textId="77777777" w:rsidTr="007C08D7">
        <w:trPr>
          <w:trHeight w:val="1033"/>
        </w:trPr>
        <w:tc>
          <w:tcPr>
            <w:tcW w:w="1281" w:type="dxa"/>
          </w:tcPr>
          <w:p w14:paraId="0FC9C129" w14:textId="77777777" w:rsidR="004A0F3E" w:rsidRPr="00C32235" w:rsidRDefault="004A0F3E" w:rsidP="004A0F3E">
            <w:pPr>
              <w:rPr>
                <w:rFonts w:ascii="Gill Sans MT" w:hAnsi="Gill Sans MT"/>
                <w:b/>
                <w:bCs/>
                <w:sz w:val="16"/>
                <w:szCs w:val="16"/>
                <w:u w:val="single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Knowledge</w:t>
            </w:r>
            <w:r w:rsidRPr="00C32235">
              <w:rPr>
                <w:rFonts w:ascii="Gill Sans MT" w:hAnsi="Gill Sans MT"/>
                <w:b/>
                <w:bCs/>
                <w:sz w:val="16"/>
                <w:szCs w:val="16"/>
                <w:u w:val="single"/>
              </w:rPr>
              <w:t>:</w:t>
            </w:r>
          </w:p>
          <w:p w14:paraId="4A03F0B9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-What is a myth? What is a legend?</w:t>
            </w:r>
          </w:p>
          <w:p w14:paraId="1436D734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-Conventions of myths </w:t>
            </w:r>
          </w:p>
          <w:p w14:paraId="16EAB23F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-Ancient Greece</w:t>
            </w:r>
          </w:p>
          <w:p w14:paraId="44C4D1E2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Greek gods/ Mount Olympus </w:t>
            </w:r>
          </w:p>
          <w:p w14:paraId="17E271A1" w14:textId="4DB4B161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-Greek Heroes (Odysseus, Achilles, Prometheus etc)</w:t>
            </w:r>
          </w:p>
        </w:tc>
        <w:tc>
          <w:tcPr>
            <w:tcW w:w="1281" w:type="dxa"/>
          </w:tcPr>
          <w:p w14:paraId="388F3567" w14:textId="77777777" w:rsidR="004A0F3E" w:rsidRPr="00C32235" w:rsidRDefault="004A0F3E" w:rsidP="004A0F3E">
            <w:pPr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Skills:</w:t>
            </w:r>
          </w:p>
          <w:p w14:paraId="69008D2D" w14:textId="2A2FF54D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Comprehension and reading skills (explicit and implicit ideas)</w:t>
            </w:r>
          </w:p>
          <w:p w14:paraId="5534F29B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- Decoding; tier 2 and 3 vocabulary </w:t>
            </w:r>
          </w:p>
          <w:p w14:paraId="6B4BF66D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Identifying examples and evidence</w:t>
            </w:r>
          </w:p>
          <w:p w14:paraId="5C39B6CC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Summary skills</w:t>
            </w:r>
          </w:p>
          <w:p w14:paraId="7368E245" w14:textId="2D268C0C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Understanding of genre and convention</w:t>
            </w:r>
          </w:p>
        </w:tc>
        <w:tc>
          <w:tcPr>
            <w:tcW w:w="1281" w:type="dxa"/>
          </w:tcPr>
          <w:p w14:paraId="1DA0817B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Knowledge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3193FF3C" w14:textId="71738D10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>What is a myth? What is a legend?</w:t>
            </w:r>
          </w:p>
          <w:p w14:paraId="15B37971" w14:textId="00A97A22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 xml:space="preserve">Conventions of myths </w:t>
            </w:r>
          </w:p>
          <w:p w14:paraId="214692F5" w14:textId="00BF202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>Ancient Greece</w:t>
            </w:r>
          </w:p>
          <w:p w14:paraId="2B808F9B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Greek gods/ Mount Olympus </w:t>
            </w:r>
          </w:p>
          <w:p w14:paraId="79E21157" w14:textId="3F413BAE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>Greek Heroes (Odysseus, Achilles, Prometheus etc)</w:t>
            </w:r>
          </w:p>
        </w:tc>
        <w:tc>
          <w:tcPr>
            <w:tcW w:w="1280" w:type="dxa"/>
          </w:tcPr>
          <w:p w14:paraId="4FCD8ECF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Skills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674FA154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understanding of genre and conventions</w:t>
            </w:r>
          </w:p>
          <w:p w14:paraId="74ED0315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using different techniques to build images and create effects</w:t>
            </w:r>
          </w:p>
          <w:p w14:paraId="439C283A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use vocabulary for effect</w:t>
            </w:r>
          </w:p>
          <w:p w14:paraId="58C00C9D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clear development of style</w:t>
            </w:r>
          </w:p>
          <w:p w14:paraId="19BD65BC" w14:textId="5AB0D12E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planning, drafting and self-reflection</w:t>
            </w:r>
          </w:p>
        </w:tc>
        <w:tc>
          <w:tcPr>
            <w:tcW w:w="1349" w:type="dxa"/>
          </w:tcPr>
          <w:p w14:paraId="35209614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Knowledge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1FFBA9C9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-Elizabethan theatre</w:t>
            </w:r>
          </w:p>
          <w:p w14:paraId="14AD3A45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- Tudor England (entertainment, society, great chain of being) </w:t>
            </w:r>
          </w:p>
          <w:p w14:paraId="54A13006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comedy, history, tragedy</w:t>
            </w:r>
          </w:p>
          <w:p w14:paraId="46BC308B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prose, blank verse, iambic pentameter</w:t>
            </w:r>
          </w:p>
          <w:p w14:paraId="3C9F2095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- play synopsis </w:t>
            </w:r>
          </w:p>
          <w:p w14:paraId="65E8F2A7" w14:textId="3FB1D709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what is a sonnet</w:t>
            </w:r>
          </w:p>
        </w:tc>
        <w:tc>
          <w:tcPr>
            <w:tcW w:w="1303" w:type="dxa"/>
          </w:tcPr>
          <w:p w14:paraId="7EA0F2FA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Skills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476D268F" w14:textId="77777777" w:rsidR="004A0F3E" w:rsidRPr="00C32235" w:rsidRDefault="004A0F3E" w:rsidP="004A0F3E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Empathy</w:t>
            </w:r>
          </w:p>
          <w:p w14:paraId="416D062A" w14:textId="77777777" w:rsidR="004A0F3E" w:rsidRPr="00C32235" w:rsidRDefault="004A0F3E" w:rsidP="004A0F3E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Using knowledge of cognates</w:t>
            </w:r>
          </w:p>
          <w:p w14:paraId="0E92630F" w14:textId="77777777" w:rsidR="004A0F3E" w:rsidRPr="00C32235" w:rsidRDefault="004A0F3E" w:rsidP="004A0F3E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How dialogue/spoken language is used</w:t>
            </w:r>
          </w:p>
          <w:p w14:paraId="20EEFC36" w14:textId="77777777" w:rsidR="004A0F3E" w:rsidRPr="00C32235" w:rsidRDefault="004A0F3E" w:rsidP="004A0F3E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 xml:space="preserve">- Context- </w:t>
            </w:r>
            <w:proofErr w:type="gramStart"/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time period</w:t>
            </w:r>
            <w:proofErr w:type="gramEnd"/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, conventions of a play</w:t>
            </w:r>
          </w:p>
          <w:p w14:paraId="0B4E5B38" w14:textId="77777777" w:rsidR="004A0F3E" w:rsidRPr="00C32235" w:rsidRDefault="004A0F3E" w:rsidP="004A0F3E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Allusion</w:t>
            </w:r>
          </w:p>
          <w:p w14:paraId="580E1E47" w14:textId="77777777" w:rsidR="004A0F3E" w:rsidRPr="00C32235" w:rsidRDefault="004A0F3E" w:rsidP="004A0F3E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Dramatic devices, awareness of audience.</w:t>
            </w:r>
          </w:p>
          <w:p w14:paraId="11F489BC" w14:textId="6A62A88C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8D31054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Knowledge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14264680" w14:textId="1E4E0178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>What is genre</w:t>
            </w:r>
          </w:p>
          <w:p w14:paraId="1B6B6A21" w14:textId="538BDBD3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>Conventions of a narrative (character types, narrator)</w:t>
            </w:r>
          </w:p>
          <w:p w14:paraId="02D32E5D" w14:textId="77F5731C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</w:t>
            </w:r>
            <w:r w:rsidRPr="00C32235">
              <w:rPr>
                <w:rFonts w:ascii="Gill Sans MT" w:hAnsi="Gill Sans MT"/>
                <w:sz w:val="16"/>
                <w:szCs w:val="16"/>
              </w:rPr>
              <w:t>Conventions of genre</w:t>
            </w:r>
          </w:p>
          <w:p w14:paraId="29C72AEF" w14:textId="7AA64600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i/>
                <w:iCs/>
                <w:sz w:val="16"/>
                <w:szCs w:val="16"/>
              </w:rPr>
              <w:t>Traditional writers</w:t>
            </w:r>
          </w:p>
        </w:tc>
        <w:tc>
          <w:tcPr>
            <w:tcW w:w="1267" w:type="dxa"/>
          </w:tcPr>
          <w:p w14:paraId="601F81BF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Skills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33C157BA" w14:textId="77777777" w:rsidR="007176EA" w:rsidRPr="00C32235" w:rsidRDefault="007176EA" w:rsidP="007176EA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 xml:space="preserve">- Pathetic fallacy, extended metaphor, symbolism, </w:t>
            </w:r>
          </w:p>
          <w:p w14:paraId="1B4F3E28" w14:textId="77777777" w:rsidR="007176EA" w:rsidRPr="00C32235" w:rsidRDefault="007176EA" w:rsidP="007176EA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 xml:space="preserve">- Setting conventions, </w:t>
            </w:r>
          </w:p>
          <w:p w14:paraId="4A10583A" w14:textId="77777777" w:rsidR="007176EA" w:rsidRPr="00C32235" w:rsidRDefault="007176EA" w:rsidP="007176EA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Punctuation for a specific purpose</w:t>
            </w:r>
          </w:p>
          <w:p w14:paraId="70157EC9" w14:textId="77777777" w:rsidR="007176EA" w:rsidRPr="00C32235" w:rsidRDefault="007176EA" w:rsidP="007176EA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Character development</w:t>
            </w:r>
          </w:p>
          <w:p w14:paraId="03ADDD6F" w14:textId="77777777" w:rsidR="007176EA" w:rsidRPr="00C32235" w:rsidRDefault="007176EA" w:rsidP="007176EA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Awareness of impact (mood and atmosphere)</w:t>
            </w:r>
          </w:p>
          <w:p w14:paraId="40149AE7" w14:textId="77777777" w:rsidR="007176EA" w:rsidRPr="00C32235" w:rsidRDefault="007176EA" w:rsidP="007176EA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Third person writing</w:t>
            </w:r>
          </w:p>
          <w:p w14:paraId="6D5499C1" w14:textId="718776DE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Effective opening lines</w:t>
            </w:r>
          </w:p>
        </w:tc>
        <w:tc>
          <w:tcPr>
            <w:tcW w:w="1269" w:type="dxa"/>
          </w:tcPr>
          <w:p w14:paraId="1FE9A1FD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Knowledge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60F830CA" w14:textId="43A20874" w:rsidR="007176EA" w:rsidRPr="00C32235" w:rsidRDefault="007176EA" w:rsidP="007176EA">
            <w:pPr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-</w:t>
            </w: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Colonisation</w:t>
            </w:r>
          </w:p>
          <w:p w14:paraId="2C7492F8" w14:textId="51FA19A9" w:rsidR="007176EA" w:rsidRPr="00C32235" w:rsidRDefault="007176EA" w:rsidP="007176EA">
            <w:pPr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-</w:t>
            </w: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The Philippines War</w:t>
            </w:r>
          </w:p>
          <w:p w14:paraId="0F3708EA" w14:textId="02B746A9" w:rsidR="007176EA" w:rsidRPr="00C32235" w:rsidRDefault="007176EA" w:rsidP="007176EA">
            <w:pPr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-</w:t>
            </w: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Bontok culture and traditions</w:t>
            </w:r>
          </w:p>
          <w:p w14:paraId="6B880855" w14:textId="375143C7" w:rsidR="007176EA" w:rsidRPr="00C32235" w:rsidRDefault="007176EA" w:rsidP="007176EA">
            <w:pPr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-</w:t>
            </w: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Novel structure</w:t>
            </w:r>
          </w:p>
          <w:p w14:paraId="213B39DB" w14:textId="425AFAB8" w:rsidR="007176EA" w:rsidRPr="00C32235" w:rsidRDefault="007176EA" w:rsidP="007176EA">
            <w:pPr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-</w:t>
            </w:r>
            <w:r w:rsidRPr="00C32235">
              <w:rPr>
                <w:rFonts w:ascii="Gill Sans MT" w:eastAsia="Arial" w:hAnsi="Gill Sans MT"/>
                <w:color w:val="000000" w:themeColor="text1"/>
                <w:sz w:val="16"/>
                <w:szCs w:val="16"/>
              </w:rPr>
              <w:t>Writer’s influence and ‘context’</w:t>
            </w:r>
          </w:p>
          <w:p w14:paraId="7C4CFEE0" w14:textId="32707949" w:rsidR="007176EA" w:rsidRPr="00C32235" w:rsidRDefault="007176EA" w:rsidP="004A0F3E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8E183AA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Skills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5E84EA72" w14:textId="77777777" w:rsidR="00C32235" w:rsidRPr="00C32235" w:rsidRDefault="00C32235" w:rsidP="00C32235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Inference and deduction</w:t>
            </w:r>
          </w:p>
          <w:p w14:paraId="2C230184" w14:textId="77777777" w:rsidR="00C32235" w:rsidRPr="00C32235" w:rsidRDefault="00C32235" w:rsidP="00C32235">
            <w:pPr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Analytical writing, context</w:t>
            </w:r>
          </w:p>
          <w:p w14:paraId="619B849C" w14:textId="55FDE038" w:rsidR="00C32235" w:rsidRPr="00C32235" w:rsidRDefault="00C32235" w:rsidP="00C32235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6"/>
                <w:szCs w:val="16"/>
              </w:rPr>
              <w:t>- summary and prioritising key information.</w:t>
            </w:r>
          </w:p>
        </w:tc>
        <w:tc>
          <w:tcPr>
            <w:tcW w:w="1270" w:type="dxa"/>
          </w:tcPr>
          <w:p w14:paraId="03BC62D8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Knowledge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6D28A4AD" w14:textId="77777777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-Origins of rhetoric (Aristotle, Sophists) </w:t>
            </w:r>
          </w:p>
          <w:p w14:paraId="4B426121" w14:textId="77777777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 xml:space="preserve">- ethos, </w:t>
            </w:r>
            <w:proofErr w:type="gramStart"/>
            <w:r w:rsidRPr="00C32235">
              <w:rPr>
                <w:rFonts w:ascii="Gill Sans MT" w:hAnsi="Gill Sans MT"/>
                <w:sz w:val="16"/>
                <w:szCs w:val="16"/>
              </w:rPr>
              <w:t>pathos</w:t>
            </w:r>
            <w:proofErr w:type="gramEnd"/>
            <w:r w:rsidRPr="00C32235">
              <w:rPr>
                <w:rFonts w:ascii="Gill Sans MT" w:hAnsi="Gill Sans MT"/>
                <w:sz w:val="16"/>
                <w:szCs w:val="16"/>
              </w:rPr>
              <w:t xml:space="preserve"> and logos,</w:t>
            </w:r>
          </w:p>
          <w:p w14:paraId="4C951890" w14:textId="77777777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what is a speech</w:t>
            </w:r>
          </w:p>
          <w:p w14:paraId="45A63BC1" w14:textId="0EDC2388" w:rsidR="007176EA" w:rsidRPr="00C32235" w:rsidRDefault="007176EA" w:rsidP="007176EA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sz w:val="16"/>
                <w:szCs w:val="16"/>
              </w:rPr>
              <w:t>- context of speakers.</w:t>
            </w:r>
          </w:p>
        </w:tc>
        <w:tc>
          <w:tcPr>
            <w:tcW w:w="1270" w:type="dxa"/>
          </w:tcPr>
          <w:p w14:paraId="1BFBF622" w14:textId="77777777" w:rsidR="004A0F3E" w:rsidRPr="00C32235" w:rsidRDefault="004A0F3E" w:rsidP="004A0F3E">
            <w:pPr>
              <w:rPr>
                <w:rFonts w:ascii="Gill Sans MT" w:hAnsi="Gill Sans MT"/>
                <w:sz w:val="16"/>
                <w:szCs w:val="16"/>
              </w:rPr>
            </w:pPr>
            <w:r w:rsidRPr="00C32235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Skills</w:t>
            </w:r>
            <w:r w:rsidRPr="00C32235">
              <w:rPr>
                <w:rFonts w:ascii="Gill Sans MT" w:hAnsi="Gill Sans MT"/>
                <w:sz w:val="16"/>
                <w:szCs w:val="16"/>
              </w:rPr>
              <w:t>:</w:t>
            </w:r>
          </w:p>
          <w:p w14:paraId="2B42836D" w14:textId="3493F69A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-Transformative writing</w:t>
            </w:r>
          </w:p>
          <w:p w14:paraId="31B8A818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Narrative perspective</w:t>
            </w:r>
          </w:p>
          <w:p w14:paraId="14155CBD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First person writing, tense</w:t>
            </w:r>
          </w:p>
          <w:p w14:paraId="12938519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Using text material as a stimulus</w:t>
            </w:r>
          </w:p>
          <w:p w14:paraId="4065B9AB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Creating a voice</w:t>
            </w:r>
          </w:p>
          <w:p w14:paraId="1990A7B2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Writing styles</w:t>
            </w:r>
          </w:p>
          <w:p w14:paraId="5D7E1195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Planning whole piece- narrative</w:t>
            </w:r>
          </w:p>
          <w:p w14:paraId="48756AA1" w14:textId="77777777" w:rsidR="00C32235" w:rsidRPr="00C32235" w:rsidRDefault="00C32235" w:rsidP="00C32235">
            <w:pPr>
              <w:pStyle w:val="Body"/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</w:pP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  <w:lang w:val="en-GB"/>
              </w:rPr>
              <w:t>- Use of sentences for effect.</w:t>
            </w:r>
          </w:p>
          <w:p w14:paraId="263B4C7C" w14:textId="5B8872BC" w:rsidR="007176EA" w:rsidRPr="00C32235" w:rsidRDefault="00C32235" w:rsidP="00C32235">
            <w:pPr>
              <w:rPr>
                <w:rFonts w:ascii="Gill Sans MT" w:hAnsi="Gill Sans MT"/>
                <w:sz w:val="12"/>
                <w:szCs w:val="12"/>
              </w:rPr>
            </w:pPr>
            <w:r w:rsidRPr="00C32235">
              <w:rPr>
                <w:rFonts w:ascii="Gill Sans MT" w:eastAsia="Arial" w:hAnsi="Gill Sans MT"/>
                <w:b/>
                <w:bCs/>
                <w:color w:val="000000" w:themeColor="text1"/>
                <w:sz w:val="14"/>
                <w:szCs w:val="14"/>
              </w:rPr>
              <w:t xml:space="preserve">Spoken Language: </w:t>
            </w:r>
            <w:r w:rsidRPr="00C32235">
              <w:rPr>
                <w:rFonts w:ascii="Gill Sans MT" w:eastAsia="Arial" w:hAnsi="Gill Sans MT"/>
                <w:bCs/>
                <w:color w:val="000000" w:themeColor="text1"/>
                <w:sz w:val="14"/>
                <w:szCs w:val="14"/>
              </w:rPr>
              <w:t>Utterance use Standard English and full sentences</w:t>
            </w:r>
          </w:p>
        </w:tc>
      </w:tr>
    </w:tbl>
    <w:p w14:paraId="2748DC98" w14:textId="22B443BA" w:rsidR="006A0CD0" w:rsidRDefault="006A0CD0"/>
    <w:p w14:paraId="74048119" w14:textId="4E5CECF5" w:rsidR="00CA6D8E" w:rsidRDefault="00CA6D8E"/>
    <w:sectPr w:rsidR="00CA6D8E" w:rsidSect="006A0CD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97AA" w14:textId="77777777" w:rsidR="005C5E4C" w:rsidRDefault="005C5E4C" w:rsidP="006A0CD0">
      <w:pPr>
        <w:spacing w:after="0" w:line="240" w:lineRule="auto"/>
      </w:pPr>
      <w:r>
        <w:separator/>
      </w:r>
    </w:p>
  </w:endnote>
  <w:endnote w:type="continuationSeparator" w:id="0">
    <w:p w14:paraId="662682E4" w14:textId="77777777" w:rsidR="005C5E4C" w:rsidRDefault="005C5E4C" w:rsidP="006A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57F5" w14:textId="77777777" w:rsidR="005C5E4C" w:rsidRDefault="005C5E4C" w:rsidP="006A0CD0">
      <w:pPr>
        <w:spacing w:after="0" w:line="240" w:lineRule="auto"/>
      </w:pPr>
      <w:r>
        <w:separator/>
      </w:r>
    </w:p>
  </w:footnote>
  <w:footnote w:type="continuationSeparator" w:id="0">
    <w:p w14:paraId="5B097A30" w14:textId="77777777" w:rsidR="005C5E4C" w:rsidRDefault="005C5E4C" w:rsidP="006A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FAD2" w14:textId="73C3E871" w:rsidR="00E57308" w:rsidRPr="006A0CD0" w:rsidRDefault="00E57308">
    <w:pPr>
      <w:pStyle w:val="Header"/>
      <w:rPr>
        <w:rFonts w:ascii="Rockwell Condensed" w:hAnsi="Rockwell Condensed"/>
        <w:sz w:val="28"/>
        <w:szCs w:val="28"/>
      </w:rPr>
    </w:pPr>
    <w:r w:rsidRPr="00F61DC8">
      <w:rPr>
        <w:rFonts w:ascii="Rockwell Condensed" w:hAnsi="Rockwell Condensed" w:cs="Biome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B91F47" wp14:editId="424AD442">
          <wp:simplePos x="0" y="0"/>
          <wp:positionH relativeFrom="margin">
            <wp:align>left</wp:align>
          </wp:positionH>
          <wp:positionV relativeFrom="paragraph">
            <wp:posOffset>-181314</wp:posOffset>
          </wp:positionV>
          <wp:extent cx="643890" cy="485775"/>
          <wp:effectExtent l="0" t="0" r="3810" b="9525"/>
          <wp:wrapThrough wrapText="bothSides">
            <wp:wrapPolygon edited="0">
              <wp:start x="8947" y="847"/>
              <wp:lineTo x="3195" y="3388"/>
              <wp:lineTo x="0" y="13553"/>
              <wp:lineTo x="0" y="21176"/>
              <wp:lineTo x="21089" y="21176"/>
              <wp:lineTo x="21089" y="13553"/>
              <wp:lineTo x="19811" y="5082"/>
              <wp:lineTo x="12781" y="847"/>
              <wp:lineTo x="8947" y="847"/>
            </wp:wrapPolygon>
          </wp:wrapThrough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EC339F11-EC66-4D52-8651-7E6B416027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>
                    <a:extLst>
                      <a:ext uri="{FF2B5EF4-FFF2-40B4-BE49-F238E27FC236}">
                        <a16:creationId xmlns:a16="http://schemas.microsoft.com/office/drawing/2014/main" id="{EC339F11-EC66-4D52-8651-7E6B416027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CD0">
      <w:rPr>
        <w:rFonts w:ascii="Rockwell Condensed" w:hAnsi="Rockwell Condensed"/>
        <w:sz w:val="28"/>
        <w:szCs w:val="28"/>
      </w:rPr>
      <w:t>Stockland Green School: English Curriculum (Year 7)</w:t>
    </w:r>
  </w:p>
  <w:p w14:paraId="081DB13D" w14:textId="77777777" w:rsidR="00E57308" w:rsidRDefault="00E5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5900"/>
    <w:multiLevelType w:val="hybridMultilevel"/>
    <w:tmpl w:val="42B2FA24"/>
    <w:lvl w:ilvl="0" w:tplc="8AA087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D0"/>
    <w:rsid w:val="004A0F3E"/>
    <w:rsid w:val="005C5E4C"/>
    <w:rsid w:val="006A0CD0"/>
    <w:rsid w:val="006A34AD"/>
    <w:rsid w:val="006F1448"/>
    <w:rsid w:val="00715A84"/>
    <w:rsid w:val="007176EA"/>
    <w:rsid w:val="00846B7C"/>
    <w:rsid w:val="00AF2995"/>
    <w:rsid w:val="00BE74D5"/>
    <w:rsid w:val="00C32235"/>
    <w:rsid w:val="00CA6D8E"/>
    <w:rsid w:val="00DD5B59"/>
    <w:rsid w:val="00E57308"/>
    <w:rsid w:val="00E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E346"/>
  <w15:chartTrackingRefBased/>
  <w15:docId w15:val="{2C06F3DA-AB54-4DC2-9F7A-5D9DD9B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D0"/>
  </w:style>
  <w:style w:type="paragraph" w:styleId="Footer">
    <w:name w:val="footer"/>
    <w:basedOn w:val="Normal"/>
    <w:link w:val="FooterChar"/>
    <w:uiPriority w:val="99"/>
    <w:unhideWhenUsed/>
    <w:rsid w:val="006A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D0"/>
  </w:style>
  <w:style w:type="table" w:styleId="TableGrid">
    <w:name w:val="Table Grid"/>
    <w:basedOn w:val="TableNormal"/>
    <w:uiPriority w:val="39"/>
    <w:rsid w:val="006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4D5"/>
    <w:pPr>
      <w:ind w:left="720"/>
      <w:contextualSpacing/>
    </w:pPr>
  </w:style>
  <w:style w:type="paragraph" w:customStyle="1" w:styleId="Body">
    <w:name w:val="Body"/>
    <w:rsid w:val="00C322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Ryan</dc:creator>
  <cp:keywords/>
  <dc:description/>
  <cp:lastModifiedBy>Natalie Ryan</cp:lastModifiedBy>
  <cp:revision>4</cp:revision>
  <dcterms:created xsi:type="dcterms:W3CDTF">2021-09-17T19:22:00Z</dcterms:created>
  <dcterms:modified xsi:type="dcterms:W3CDTF">2021-09-22T09:24:00Z</dcterms:modified>
</cp:coreProperties>
</file>