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79266" w14:textId="5DFB468C" w:rsidR="006A0CD0" w:rsidRDefault="006A0CD0">
      <w:r w:rsidRPr="009837C1">
        <w:rPr>
          <w:noProof/>
          <w:sz w:val="12"/>
          <w:szCs w:val="12"/>
        </w:rPr>
        <mc:AlternateContent>
          <mc:Choice Requires="wps">
            <w:drawing>
              <wp:anchor distT="0" distB="0" distL="114300" distR="114300" simplePos="0" relativeHeight="251659264" behindDoc="0" locked="0" layoutInCell="1" allowOverlap="1" wp14:anchorId="23B49369" wp14:editId="71B77F78">
                <wp:simplePos x="0" y="0"/>
                <wp:positionH relativeFrom="column">
                  <wp:posOffset>-666750</wp:posOffset>
                </wp:positionH>
                <wp:positionV relativeFrom="paragraph">
                  <wp:posOffset>12109</wp:posOffset>
                </wp:positionV>
                <wp:extent cx="12607636" cy="45719"/>
                <wp:effectExtent l="0" t="0" r="3810" b="0"/>
                <wp:wrapNone/>
                <wp:docPr id="5" name="Rectangle 9">
                  <a:extLst xmlns:a="http://schemas.openxmlformats.org/drawingml/2006/main">
                    <a:ext uri="{FF2B5EF4-FFF2-40B4-BE49-F238E27FC236}">
                      <a16:creationId xmlns:a16="http://schemas.microsoft.com/office/drawing/2014/main" id="{383463A6-C263-4CAB-88B9-6E9D11B2DC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7636" cy="45719"/>
                        </a:xfrm>
                        <a:prstGeom prst="rect">
                          <a:avLst/>
                        </a:prstGeom>
                        <a:gradFill rotWithShape="1">
                          <a:gsLst>
                            <a:gs pos="0">
                              <a:srgbClr val="FFF200"/>
                            </a:gs>
                            <a:gs pos="25000">
                              <a:srgbClr val="FFF200"/>
                            </a:gs>
                            <a:gs pos="61000">
                              <a:srgbClr val="FF7A00"/>
                            </a:gs>
                            <a:gs pos="100000">
                              <a:srgbClr val="FF0300"/>
                            </a:gs>
                          </a:gsLst>
                          <a:lin ang="0" scaled="1"/>
                        </a:gradFill>
                        <a:ln>
                          <a:noFill/>
                        </a:ln>
                        <a:extLst>
                          <a:ext uri="{91240B29-F687-4F45-9708-019B960494DF}">
                            <a14:hiddenLine xmlns:a14="http://schemas.microsoft.com/office/drawing/2010/main" w="25400" algn="ctr">
                              <a:solidFill>
                                <a:srgbClr val="000000"/>
                              </a:solidFill>
                              <a:miter lim="800000"/>
                              <a:headEnd/>
                              <a:tailEnd/>
                            </a14:hiddenLine>
                          </a:ext>
                        </a:extLst>
                      </wps:spPr>
                      <wps:bodyPr vert="horz" wrap="square" lIns="91440" tIns="45720" rIns="91440" bIns="45720" numCol="1"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9FEE751" id="Rectangle 9" o:spid="_x0000_s1026" style="position:absolute;margin-left:-52.5pt;margin-top:.95pt;width:992.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" fillcolor="#fff200" stroked="f" strokeweight="2pt">
                <v:fill color2="#ff0300" rotate="t" angle="90" colors="0 #fff200;.25 #fff200;39977f #ff7a00;1 #ff0300" focus="100%" type="gradient"/>
              </v:rect>
            </w:pict>
          </mc:Fallback>
        </mc:AlternateContent>
      </w:r>
    </w:p>
    <w:tbl>
      <w:tblPr>
        <w:tblStyle w:val="TableGrid"/>
        <w:tblW w:w="0" w:type="auto"/>
        <w:tblLook w:val="04A0" w:firstRow="1" w:lastRow="0" w:firstColumn="1" w:lastColumn="0" w:noHBand="0" w:noVBand="1"/>
      </w:tblPr>
      <w:tblGrid>
        <w:gridCol w:w="1281"/>
        <w:gridCol w:w="1281"/>
        <w:gridCol w:w="1281"/>
        <w:gridCol w:w="1280"/>
        <w:gridCol w:w="1349"/>
        <w:gridCol w:w="1303"/>
        <w:gridCol w:w="1267"/>
        <w:gridCol w:w="1267"/>
        <w:gridCol w:w="1269"/>
        <w:gridCol w:w="1270"/>
        <w:gridCol w:w="1270"/>
        <w:gridCol w:w="1270"/>
      </w:tblGrid>
      <w:tr w:rsidR="007176EA" w14:paraId="31753F56" w14:textId="77777777" w:rsidTr="004A0F3E">
        <w:trPr>
          <w:trHeight w:val="933"/>
        </w:trPr>
        <w:tc>
          <w:tcPr>
            <w:tcW w:w="2562" w:type="dxa"/>
            <w:gridSpan w:val="2"/>
          </w:tcPr>
          <w:p w14:paraId="1FC4310E" w14:textId="77777777" w:rsidR="006A0CD0" w:rsidRDefault="006A0CD0">
            <w:r>
              <w:t>Autumn 1:</w:t>
            </w:r>
          </w:p>
          <w:p w14:paraId="449A96B7" w14:textId="12860A72" w:rsidR="006A0CD0" w:rsidRPr="006A0CD0" w:rsidRDefault="006A0CD0" w:rsidP="006A0CD0">
            <w:pPr>
              <w:rPr>
                <w:rFonts w:ascii="Rockwell Condensed" w:hAnsi="Rockwell Condensed"/>
                <w:b/>
                <w:bCs/>
                <w:sz w:val="18"/>
                <w:szCs w:val="18"/>
              </w:rPr>
            </w:pPr>
            <w:r w:rsidRPr="006A0CD0">
              <w:rPr>
                <w:rFonts w:ascii="Rockwell Condensed" w:hAnsi="Rockwell Condensed"/>
                <w:b/>
                <w:bCs/>
                <w:sz w:val="18"/>
                <w:szCs w:val="18"/>
              </w:rPr>
              <w:t>‘</w:t>
            </w:r>
            <w:r w:rsidR="004709C5">
              <w:rPr>
                <w:rFonts w:ascii="Rockwell Condensed" w:hAnsi="Rockwell Condensed"/>
                <w:b/>
                <w:bCs/>
                <w:sz w:val="18"/>
                <w:szCs w:val="18"/>
              </w:rPr>
              <w:t>Our World’</w:t>
            </w:r>
          </w:p>
          <w:p w14:paraId="7994BFE5" w14:textId="77777777" w:rsidR="006A0CD0" w:rsidRPr="006A0CD0" w:rsidRDefault="006A0CD0" w:rsidP="006A0CD0">
            <w:pPr>
              <w:rPr>
                <w:color w:val="FF0000"/>
                <w:sz w:val="18"/>
                <w:szCs w:val="18"/>
              </w:rPr>
            </w:pPr>
            <w:r w:rsidRPr="006A0CD0">
              <w:rPr>
                <w:color w:val="FF0000"/>
                <w:sz w:val="18"/>
                <w:szCs w:val="18"/>
              </w:rPr>
              <w:t xml:space="preserve">ALTP FOCUS: Reading </w:t>
            </w:r>
          </w:p>
          <w:p w14:paraId="5A92B717" w14:textId="03E758CB" w:rsidR="006A0CD0" w:rsidRPr="006A0CD0" w:rsidRDefault="0001295B" w:rsidP="006A0CD0">
            <w:pPr>
              <w:rPr>
                <w:b/>
                <w:bCs/>
                <w:sz w:val="18"/>
                <w:szCs w:val="18"/>
                <w:u w:val="single"/>
              </w:rPr>
            </w:pPr>
            <w:r>
              <w:rPr>
                <w:b/>
                <w:bCs/>
                <w:sz w:val="18"/>
                <w:szCs w:val="18"/>
                <w:u w:val="single"/>
              </w:rPr>
              <w:t xml:space="preserve">Bone Talk </w:t>
            </w:r>
          </w:p>
          <w:p w14:paraId="066317A8" w14:textId="32D7E6F6" w:rsidR="006A0CD0" w:rsidRDefault="006A0CD0"/>
        </w:tc>
        <w:tc>
          <w:tcPr>
            <w:tcW w:w="2561" w:type="dxa"/>
            <w:gridSpan w:val="2"/>
          </w:tcPr>
          <w:p w14:paraId="31255311" w14:textId="77777777" w:rsidR="006A0CD0" w:rsidRDefault="006A0CD0">
            <w:r>
              <w:t>Autumn 2</w:t>
            </w:r>
          </w:p>
          <w:p w14:paraId="7FF086B8" w14:textId="723599C0" w:rsidR="00E57308" w:rsidRPr="006A0CD0" w:rsidRDefault="004709C5" w:rsidP="00E57308">
            <w:pPr>
              <w:rPr>
                <w:rFonts w:ascii="Rockwell Condensed" w:hAnsi="Rockwell Condensed"/>
                <w:b/>
                <w:bCs/>
                <w:sz w:val="18"/>
                <w:szCs w:val="18"/>
              </w:rPr>
            </w:pPr>
            <w:r>
              <w:rPr>
                <w:rFonts w:ascii="Rockwell Condensed" w:hAnsi="Rockwell Condensed"/>
                <w:b/>
                <w:bCs/>
                <w:sz w:val="18"/>
                <w:szCs w:val="18"/>
              </w:rPr>
              <w:t>‘Our World’</w:t>
            </w:r>
          </w:p>
          <w:p w14:paraId="496D2EFD" w14:textId="276DDA5E" w:rsidR="00E57308" w:rsidRPr="006A0CD0" w:rsidRDefault="00E57308" w:rsidP="00E57308">
            <w:pPr>
              <w:rPr>
                <w:color w:val="FF0000"/>
                <w:sz w:val="18"/>
                <w:szCs w:val="18"/>
              </w:rPr>
            </w:pPr>
            <w:r w:rsidRPr="006A0CD0">
              <w:rPr>
                <w:color w:val="FF0000"/>
                <w:sz w:val="18"/>
                <w:szCs w:val="18"/>
              </w:rPr>
              <w:t xml:space="preserve">ALTP FOCUS: </w:t>
            </w:r>
            <w:r>
              <w:rPr>
                <w:color w:val="FF0000"/>
                <w:sz w:val="18"/>
                <w:szCs w:val="18"/>
              </w:rPr>
              <w:t>Writing</w:t>
            </w:r>
            <w:r w:rsidRPr="006A0CD0">
              <w:rPr>
                <w:color w:val="FF0000"/>
                <w:sz w:val="18"/>
                <w:szCs w:val="18"/>
              </w:rPr>
              <w:t xml:space="preserve"> </w:t>
            </w:r>
          </w:p>
          <w:p w14:paraId="7CB07A58" w14:textId="7EEBE271" w:rsidR="00E57308" w:rsidRPr="006A0CD0" w:rsidRDefault="0001295B" w:rsidP="00E57308">
            <w:pPr>
              <w:rPr>
                <w:b/>
                <w:bCs/>
                <w:sz w:val="18"/>
                <w:szCs w:val="18"/>
                <w:u w:val="single"/>
              </w:rPr>
            </w:pPr>
            <w:r>
              <w:rPr>
                <w:b/>
                <w:bCs/>
                <w:sz w:val="18"/>
                <w:szCs w:val="18"/>
                <w:u w:val="single"/>
              </w:rPr>
              <w:t xml:space="preserve">The Language of the Media </w:t>
            </w:r>
          </w:p>
          <w:p w14:paraId="228F49D2" w14:textId="0F259DD9" w:rsidR="00E57308" w:rsidRDefault="00E57308"/>
        </w:tc>
        <w:tc>
          <w:tcPr>
            <w:tcW w:w="2652" w:type="dxa"/>
            <w:gridSpan w:val="2"/>
          </w:tcPr>
          <w:p w14:paraId="4DC4576E" w14:textId="77777777" w:rsidR="006A0CD0" w:rsidRDefault="006A0CD0">
            <w:r>
              <w:t>Spring 1</w:t>
            </w:r>
          </w:p>
          <w:p w14:paraId="79543A3B" w14:textId="01906FB8" w:rsidR="00ED68E9" w:rsidRPr="00D85FC8" w:rsidRDefault="00ED68E9" w:rsidP="00ED68E9">
            <w:pPr>
              <w:rPr>
                <w:rFonts w:ascii="Rockwell Condensed" w:hAnsi="Rockwell Condensed"/>
                <w:b/>
                <w:bCs/>
                <w:sz w:val="18"/>
                <w:szCs w:val="18"/>
              </w:rPr>
            </w:pPr>
            <w:r w:rsidRPr="00D85FC8">
              <w:rPr>
                <w:rFonts w:ascii="Rockwell Condensed" w:hAnsi="Rockwell Condensed"/>
                <w:b/>
                <w:bCs/>
                <w:sz w:val="18"/>
                <w:szCs w:val="18"/>
              </w:rPr>
              <w:t>‘</w:t>
            </w:r>
            <w:r w:rsidR="004709C5">
              <w:rPr>
                <w:rFonts w:ascii="Rockwell Condensed" w:hAnsi="Rockwell Condensed"/>
                <w:b/>
                <w:bCs/>
                <w:sz w:val="18"/>
                <w:szCs w:val="18"/>
              </w:rPr>
              <w:t>Imagined Experiences’</w:t>
            </w:r>
          </w:p>
          <w:p w14:paraId="2F4AE1EB" w14:textId="77777777" w:rsidR="00ED68E9" w:rsidRPr="00D85FC8" w:rsidRDefault="00ED68E9" w:rsidP="00ED68E9">
            <w:pPr>
              <w:rPr>
                <w:color w:val="FF0000"/>
                <w:sz w:val="18"/>
                <w:szCs w:val="18"/>
              </w:rPr>
            </w:pPr>
            <w:r w:rsidRPr="00D85FC8">
              <w:rPr>
                <w:color w:val="FF0000"/>
                <w:sz w:val="18"/>
                <w:szCs w:val="18"/>
              </w:rPr>
              <w:t>ATLP Focus: Reading</w:t>
            </w:r>
          </w:p>
          <w:p w14:paraId="66C9D135" w14:textId="16D7208F" w:rsidR="00ED68E9" w:rsidRPr="00D85FC8" w:rsidRDefault="0001295B" w:rsidP="00ED68E9">
            <w:pPr>
              <w:rPr>
                <w:b/>
                <w:bCs/>
                <w:sz w:val="18"/>
                <w:szCs w:val="18"/>
                <w:u w:val="single"/>
              </w:rPr>
            </w:pPr>
            <w:r>
              <w:rPr>
                <w:b/>
                <w:bCs/>
                <w:sz w:val="18"/>
                <w:szCs w:val="18"/>
                <w:u w:val="single"/>
              </w:rPr>
              <w:t>Science Fiction</w:t>
            </w:r>
          </w:p>
          <w:p w14:paraId="6E0FC332" w14:textId="6EC9C62B" w:rsidR="00ED68E9" w:rsidRDefault="00ED68E9"/>
        </w:tc>
        <w:tc>
          <w:tcPr>
            <w:tcW w:w="2534" w:type="dxa"/>
            <w:gridSpan w:val="2"/>
          </w:tcPr>
          <w:p w14:paraId="3628471C" w14:textId="77777777" w:rsidR="006A0CD0" w:rsidRDefault="006A0CD0">
            <w:r>
              <w:t>Spring 2</w:t>
            </w:r>
          </w:p>
          <w:p w14:paraId="423CDFDA" w14:textId="3EFAF5BC" w:rsidR="00ED68E9" w:rsidRPr="00D85FC8" w:rsidRDefault="00ED68E9" w:rsidP="00ED68E9">
            <w:pPr>
              <w:rPr>
                <w:rFonts w:ascii="Rockwell Condensed" w:hAnsi="Rockwell Condensed"/>
                <w:b/>
                <w:bCs/>
                <w:sz w:val="18"/>
                <w:szCs w:val="18"/>
              </w:rPr>
            </w:pPr>
            <w:r w:rsidRPr="00D85FC8">
              <w:rPr>
                <w:rFonts w:ascii="Rockwell Condensed" w:hAnsi="Rockwell Condensed"/>
                <w:b/>
                <w:bCs/>
                <w:sz w:val="18"/>
                <w:szCs w:val="18"/>
              </w:rPr>
              <w:t>‘</w:t>
            </w:r>
            <w:r w:rsidR="004709C5">
              <w:rPr>
                <w:rFonts w:ascii="Rockwell Condensed" w:hAnsi="Rockwell Condensed"/>
                <w:b/>
                <w:bCs/>
                <w:sz w:val="18"/>
                <w:szCs w:val="18"/>
              </w:rPr>
              <w:t>Imagined Experiences’</w:t>
            </w:r>
          </w:p>
          <w:p w14:paraId="34649081" w14:textId="77777777" w:rsidR="00ED68E9" w:rsidRPr="00D85FC8" w:rsidRDefault="00ED68E9" w:rsidP="00ED68E9">
            <w:pPr>
              <w:rPr>
                <w:color w:val="FF0000"/>
                <w:sz w:val="18"/>
                <w:szCs w:val="18"/>
              </w:rPr>
            </w:pPr>
            <w:r w:rsidRPr="00D85FC8">
              <w:rPr>
                <w:color w:val="FF0000"/>
                <w:sz w:val="18"/>
                <w:szCs w:val="18"/>
              </w:rPr>
              <w:t>ATLP Focus: Writing</w:t>
            </w:r>
          </w:p>
          <w:p w14:paraId="11086455" w14:textId="7AECB6E1" w:rsidR="00ED68E9" w:rsidRPr="00D85FC8" w:rsidRDefault="0001295B" w:rsidP="00ED68E9">
            <w:pPr>
              <w:rPr>
                <w:b/>
                <w:bCs/>
                <w:sz w:val="18"/>
                <w:szCs w:val="18"/>
                <w:u w:val="single"/>
              </w:rPr>
            </w:pPr>
            <w:r>
              <w:rPr>
                <w:b/>
                <w:bCs/>
                <w:sz w:val="18"/>
                <w:szCs w:val="18"/>
                <w:u w:val="single"/>
              </w:rPr>
              <w:t xml:space="preserve">Poetry Through the Ages </w:t>
            </w:r>
          </w:p>
          <w:p w14:paraId="6DC0410F" w14:textId="3569C7F1" w:rsidR="00ED68E9" w:rsidRDefault="00ED68E9"/>
        </w:tc>
        <w:tc>
          <w:tcPr>
            <w:tcW w:w="2539" w:type="dxa"/>
            <w:gridSpan w:val="2"/>
          </w:tcPr>
          <w:p w14:paraId="7658DE46" w14:textId="77777777" w:rsidR="006A0CD0" w:rsidRDefault="006A0CD0">
            <w:r>
              <w:t>Summer 1</w:t>
            </w:r>
          </w:p>
          <w:p w14:paraId="4A540B0E" w14:textId="25ED840D" w:rsidR="00846B7C" w:rsidRPr="00846B7C" w:rsidRDefault="00846B7C" w:rsidP="00846B7C">
            <w:pPr>
              <w:rPr>
                <w:rFonts w:ascii="Rockwell Condensed" w:hAnsi="Rockwell Condensed"/>
                <w:b/>
                <w:bCs/>
                <w:sz w:val="18"/>
                <w:szCs w:val="18"/>
              </w:rPr>
            </w:pPr>
            <w:r w:rsidRPr="00846B7C">
              <w:rPr>
                <w:rFonts w:ascii="Rockwell Condensed" w:hAnsi="Rockwell Condensed"/>
                <w:b/>
                <w:bCs/>
                <w:sz w:val="18"/>
                <w:szCs w:val="18"/>
              </w:rPr>
              <w:t>‘</w:t>
            </w:r>
            <w:r w:rsidR="004709C5" w:rsidRPr="00D85FC8">
              <w:rPr>
                <w:rFonts w:ascii="Rockwell Condensed" w:hAnsi="Rockwell Condensed"/>
                <w:b/>
                <w:bCs/>
                <w:sz w:val="18"/>
                <w:szCs w:val="18"/>
              </w:rPr>
              <w:t>‘Drama and Human Experience’</w:t>
            </w:r>
          </w:p>
          <w:p w14:paraId="1538FA05" w14:textId="77777777" w:rsidR="00846B7C" w:rsidRPr="00846B7C" w:rsidRDefault="00846B7C" w:rsidP="00846B7C">
            <w:pPr>
              <w:rPr>
                <w:color w:val="FF0000"/>
                <w:sz w:val="18"/>
                <w:szCs w:val="18"/>
              </w:rPr>
            </w:pPr>
            <w:r w:rsidRPr="00846B7C">
              <w:rPr>
                <w:color w:val="FF0000"/>
                <w:sz w:val="18"/>
                <w:szCs w:val="18"/>
              </w:rPr>
              <w:t xml:space="preserve">ATLP Focus: Reading </w:t>
            </w:r>
          </w:p>
          <w:p w14:paraId="45DC54CD" w14:textId="5B3B6676" w:rsidR="00846B7C" w:rsidRPr="00846B7C" w:rsidRDefault="004709C5" w:rsidP="00846B7C">
            <w:pPr>
              <w:rPr>
                <w:b/>
                <w:bCs/>
                <w:sz w:val="18"/>
                <w:szCs w:val="18"/>
                <w:u w:val="single"/>
              </w:rPr>
            </w:pPr>
            <w:r>
              <w:rPr>
                <w:b/>
                <w:bCs/>
                <w:sz w:val="18"/>
                <w:szCs w:val="18"/>
                <w:u w:val="single"/>
              </w:rPr>
              <w:t xml:space="preserve">Macbeth </w:t>
            </w:r>
          </w:p>
          <w:p w14:paraId="038CCBDF" w14:textId="7DF9E1D0" w:rsidR="00846B7C" w:rsidRDefault="00846B7C"/>
        </w:tc>
        <w:tc>
          <w:tcPr>
            <w:tcW w:w="2540" w:type="dxa"/>
            <w:gridSpan w:val="2"/>
          </w:tcPr>
          <w:p w14:paraId="7BF8334F" w14:textId="77777777" w:rsidR="006A0CD0" w:rsidRDefault="006A0CD0">
            <w:r>
              <w:t>Summer 2</w:t>
            </w:r>
          </w:p>
          <w:p w14:paraId="0583BA82" w14:textId="107D6128" w:rsidR="00846B7C" w:rsidRPr="00846B7C" w:rsidRDefault="004709C5" w:rsidP="00846B7C">
            <w:pPr>
              <w:rPr>
                <w:rFonts w:ascii="Rockwell Condensed" w:hAnsi="Rockwell Condensed"/>
                <w:b/>
                <w:bCs/>
                <w:sz w:val="18"/>
                <w:szCs w:val="18"/>
              </w:rPr>
            </w:pPr>
            <w:r w:rsidRPr="00D85FC8">
              <w:rPr>
                <w:rFonts w:ascii="Rockwell Condensed" w:hAnsi="Rockwell Condensed"/>
                <w:b/>
                <w:bCs/>
                <w:sz w:val="18"/>
                <w:szCs w:val="18"/>
              </w:rPr>
              <w:t>‘Drama and Human Experience’</w:t>
            </w:r>
          </w:p>
          <w:p w14:paraId="2996C2CD" w14:textId="77777777" w:rsidR="00846B7C" w:rsidRPr="00846B7C" w:rsidRDefault="00846B7C" w:rsidP="00846B7C">
            <w:pPr>
              <w:rPr>
                <w:color w:val="FF0000"/>
                <w:sz w:val="18"/>
                <w:szCs w:val="18"/>
              </w:rPr>
            </w:pPr>
            <w:r w:rsidRPr="00846B7C">
              <w:rPr>
                <w:color w:val="FF0000"/>
                <w:sz w:val="18"/>
                <w:szCs w:val="18"/>
              </w:rPr>
              <w:t>ATLP Focus: Writing</w:t>
            </w:r>
          </w:p>
          <w:p w14:paraId="17BC0772" w14:textId="5FDB7215" w:rsidR="00846B7C" w:rsidRPr="00846B7C" w:rsidRDefault="004709C5" w:rsidP="00846B7C">
            <w:pPr>
              <w:rPr>
                <w:sz w:val="18"/>
                <w:szCs w:val="18"/>
              </w:rPr>
            </w:pPr>
            <w:r>
              <w:rPr>
                <w:b/>
                <w:bCs/>
                <w:sz w:val="18"/>
                <w:szCs w:val="18"/>
                <w:u w:val="single"/>
              </w:rPr>
              <w:t xml:space="preserve">War Fiction </w:t>
            </w:r>
          </w:p>
          <w:p w14:paraId="4B75E162" w14:textId="1523080A" w:rsidR="00846B7C" w:rsidRDefault="00846B7C"/>
        </w:tc>
      </w:tr>
      <w:tr w:rsidR="007176EA" w14:paraId="3B8B8B39" w14:textId="77777777" w:rsidTr="004A0F3E">
        <w:trPr>
          <w:trHeight w:val="968"/>
        </w:trPr>
        <w:tc>
          <w:tcPr>
            <w:tcW w:w="2562" w:type="dxa"/>
            <w:gridSpan w:val="2"/>
          </w:tcPr>
          <w:p w14:paraId="7A0B8195" w14:textId="54B1D49A" w:rsidR="006A0CD0" w:rsidRPr="007176EA" w:rsidRDefault="004709C5" w:rsidP="00ED68E9">
            <w:pPr>
              <w:jc w:val="both"/>
              <w:rPr>
                <w:rFonts w:ascii="Gill Sans MT" w:hAnsi="Gill Sans MT"/>
              </w:rPr>
            </w:pPr>
            <w:r w:rsidRPr="007176EA">
              <w:rPr>
                <w:rFonts w:ascii="Gill Sans MT" w:hAnsi="Gill Sans MT"/>
              </w:rPr>
              <w:t>Students</w:t>
            </w:r>
            <w:r>
              <w:rPr>
                <w:rFonts w:ascii="Gill Sans MT" w:hAnsi="Gill Sans MT"/>
              </w:rPr>
              <w:t>’</w:t>
            </w:r>
            <w:r w:rsidRPr="007176EA">
              <w:rPr>
                <w:rFonts w:ascii="Gill Sans MT" w:hAnsi="Gill Sans MT"/>
              </w:rPr>
              <w:t xml:space="preserve"> novel study in Year </w:t>
            </w:r>
            <w:r>
              <w:rPr>
                <w:rFonts w:ascii="Gill Sans MT" w:hAnsi="Gill Sans MT"/>
              </w:rPr>
              <w:t>8</w:t>
            </w:r>
            <w:r w:rsidRPr="007176EA">
              <w:rPr>
                <w:rFonts w:ascii="Gill Sans MT" w:hAnsi="Gill Sans MT"/>
              </w:rPr>
              <w:t xml:space="preserve"> is ‘Bone Talk’ by Candy </w:t>
            </w:r>
            <w:proofErr w:type="spellStart"/>
            <w:r w:rsidRPr="007176EA">
              <w:rPr>
                <w:rFonts w:ascii="Gill Sans MT" w:hAnsi="Gill Sans MT"/>
              </w:rPr>
              <w:t>Gourlay</w:t>
            </w:r>
            <w:proofErr w:type="spellEnd"/>
            <w:r w:rsidRPr="007176EA">
              <w:rPr>
                <w:rFonts w:ascii="Gill Sans MT" w:hAnsi="Gill Sans MT"/>
              </w:rPr>
              <w:t xml:space="preserve">. </w:t>
            </w:r>
            <w:r w:rsidRPr="00715A84">
              <w:rPr>
                <w:rFonts w:ascii="Gill Sans MT" w:hAnsi="Gill Sans MT"/>
              </w:rPr>
              <w:t>'This novel explores traditional cultures and values alongside the themes of growing up and colonisation.</w:t>
            </w:r>
          </w:p>
        </w:tc>
        <w:tc>
          <w:tcPr>
            <w:tcW w:w="2561" w:type="dxa"/>
            <w:gridSpan w:val="2"/>
          </w:tcPr>
          <w:p w14:paraId="26772BF0" w14:textId="77F51073" w:rsidR="006A0CD0" w:rsidRPr="007176EA" w:rsidRDefault="00237DFA" w:rsidP="00ED68E9">
            <w:pPr>
              <w:jc w:val="both"/>
              <w:rPr>
                <w:rFonts w:ascii="Gill Sans MT" w:hAnsi="Gill Sans MT"/>
              </w:rPr>
            </w:pPr>
            <w:r>
              <w:rPr>
                <w:rFonts w:ascii="Gill Sans MT" w:hAnsi="Gill Sans MT"/>
              </w:rPr>
              <w:t xml:space="preserve">From broadsheet to tabloid, from print to broadcast, students are exposed to news in a multitude of ways. In this unit, students explore the history of the news and how to be more aware of the strategies used to convey news to the population. </w:t>
            </w:r>
            <w:r w:rsidR="006F1448" w:rsidRPr="007176EA">
              <w:rPr>
                <w:rFonts w:ascii="Gill Sans MT" w:hAnsi="Gill Sans MT"/>
              </w:rPr>
              <w:t xml:space="preserve"> </w:t>
            </w:r>
          </w:p>
        </w:tc>
        <w:tc>
          <w:tcPr>
            <w:tcW w:w="2652" w:type="dxa"/>
            <w:gridSpan w:val="2"/>
          </w:tcPr>
          <w:p w14:paraId="44DD64F0" w14:textId="3B41F6A9" w:rsidR="006A0CD0" w:rsidRPr="007176EA" w:rsidRDefault="00ED68E9">
            <w:pPr>
              <w:rPr>
                <w:rFonts w:ascii="Gill Sans MT" w:hAnsi="Gill Sans MT"/>
              </w:rPr>
            </w:pPr>
            <w:r w:rsidRPr="007176EA">
              <w:rPr>
                <w:rFonts w:ascii="Gill Sans MT" w:hAnsi="Gill Sans MT"/>
              </w:rPr>
              <w:t xml:space="preserve">In this unit, students will </w:t>
            </w:r>
            <w:r w:rsidR="00943DAC">
              <w:rPr>
                <w:rFonts w:ascii="Gill Sans MT" w:hAnsi="Gill Sans MT"/>
              </w:rPr>
              <w:t xml:space="preserve">study a range of extracts from the science fiction genre. They will explore the different conventions of this genre and how they are used to create different narratives. </w:t>
            </w:r>
            <w:r w:rsidRPr="007176EA">
              <w:rPr>
                <w:rFonts w:ascii="Gill Sans MT" w:hAnsi="Gill Sans MT"/>
              </w:rPr>
              <w:t xml:space="preserve"> </w:t>
            </w:r>
          </w:p>
        </w:tc>
        <w:tc>
          <w:tcPr>
            <w:tcW w:w="2534" w:type="dxa"/>
            <w:gridSpan w:val="2"/>
          </w:tcPr>
          <w:p w14:paraId="7C76215A" w14:textId="41F81675" w:rsidR="006A0CD0" w:rsidRPr="007176EA" w:rsidRDefault="007176EA">
            <w:pPr>
              <w:rPr>
                <w:rFonts w:ascii="Gill Sans MT" w:hAnsi="Gill Sans MT"/>
              </w:rPr>
            </w:pPr>
            <w:r w:rsidRPr="007176EA">
              <w:rPr>
                <w:rFonts w:ascii="Gill Sans MT" w:hAnsi="Gill Sans MT"/>
              </w:rPr>
              <w:t>This unit exposes students to a range of different</w:t>
            </w:r>
            <w:r w:rsidR="00943DAC">
              <w:rPr>
                <w:rFonts w:ascii="Gill Sans MT" w:hAnsi="Gill Sans MT"/>
              </w:rPr>
              <w:t xml:space="preserve">, famous poems from the historical literary canon. They will study various poetic forms and </w:t>
            </w:r>
            <w:proofErr w:type="gramStart"/>
            <w:r w:rsidR="00943DAC">
              <w:rPr>
                <w:rFonts w:ascii="Gill Sans MT" w:hAnsi="Gill Sans MT"/>
              </w:rPr>
              <w:t>structures, and</w:t>
            </w:r>
            <w:proofErr w:type="gramEnd"/>
            <w:r w:rsidR="00943DAC">
              <w:rPr>
                <w:rFonts w:ascii="Gill Sans MT" w:hAnsi="Gill Sans MT"/>
              </w:rPr>
              <w:t xml:space="preserve"> begin to analyse the meaning behind these works. Students will also begin to find comparisons between ideas presented in different texts.</w:t>
            </w:r>
            <w:r w:rsidRPr="007176EA">
              <w:rPr>
                <w:rFonts w:ascii="Gill Sans MT" w:hAnsi="Gill Sans MT"/>
              </w:rPr>
              <w:t xml:space="preserve"> </w:t>
            </w:r>
          </w:p>
        </w:tc>
        <w:tc>
          <w:tcPr>
            <w:tcW w:w="2539" w:type="dxa"/>
            <w:gridSpan w:val="2"/>
          </w:tcPr>
          <w:p w14:paraId="5AEA758D" w14:textId="14EFEFC8" w:rsidR="006A0CD0" w:rsidRPr="007176EA" w:rsidRDefault="007176EA">
            <w:pPr>
              <w:rPr>
                <w:rFonts w:ascii="Gill Sans MT" w:hAnsi="Gill Sans MT"/>
              </w:rPr>
            </w:pPr>
            <w:r w:rsidRPr="007176EA">
              <w:rPr>
                <w:rFonts w:ascii="Gill Sans MT" w:hAnsi="Gill Sans MT"/>
              </w:rPr>
              <w:t>Students</w:t>
            </w:r>
            <w:r w:rsidR="00943DAC">
              <w:rPr>
                <w:rFonts w:ascii="Gill Sans MT" w:hAnsi="Gill Sans MT"/>
              </w:rPr>
              <w:t xml:space="preserve"> will study a full Shakespeare play in this unit: Macbeth. They will be introduced to both the literary and the performative aspects of the </w:t>
            </w:r>
            <w:proofErr w:type="gramStart"/>
            <w:r w:rsidR="00943DAC">
              <w:rPr>
                <w:rFonts w:ascii="Gill Sans MT" w:hAnsi="Gill Sans MT"/>
              </w:rPr>
              <w:t>play, and</w:t>
            </w:r>
            <w:proofErr w:type="gramEnd"/>
            <w:r w:rsidR="00943DAC">
              <w:rPr>
                <w:rFonts w:ascii="Gill Sans MT" w:hAnsi="Gill Sans MT"/>
              </w:rPr>
              <w:t xml:space="preserve"> examine its key themes in detail. </w:t>
            </w:r>
          </w:p>
        </w:tc>
        <w:tc>
          <w:tcPr>
            <w:tcW w:w="2540" w:type="dxa"/>
            <w:gridSpan w:val="2"/>
          </w:tcPr>
          <w:p w14:paraId="6FAC85CD" w14:textId="37BA10D6" w:rsidR="006A0CD0" w:rsidRPr="007176EA" w:rsidRDefault="00C32235">
            <w:pPr>
              <w:rPr>
                <w:rFonts w:ascii="Gill Sans MT" w:hAnsi="Gill Sans MT"/>
              </w:rPr>
            </w:pPr>
            <w:r>
              <w:rPr>
                <w:rFonts w:ascii="Gill Sans MT" w:hAnsi="Gill Sans MT"/>
              </w:rPr>
              <w:t xml:space="preserve">In this unit, students will </w:t>
            </w:r>
            <w:r w:rsidR="00943DAC">
              <w:rPr>
                <w:rFonts w:ascii="Gill Sans MT" w:hAnsi="Gill Sans MT"/>
              </w:rPr>
              <w:t xml:space="preserve">study a range of extracts based on the idea of war and conflict. They will use their knowledge of the conventions of war fiction to write their own war fiction narrative opening, using a stimulus to inspire their ideas. </w:t>
            </w:r>
            <w:r>
              <w:rPr>
                <w:rFonts w:ascii="Gill Sans MT" w:hAnsi="Gill Sans MT"/>
              </w:rPr>
              <w:t xml:space="preserve"> </w:t>
            </w:r>
          </w:p>
        </w:tc>
      </w:tr>
      <w:tr w:rsidR="00C32235" w14:paraId="1C653CFF" w14:textId="77777777" w:rsidTr="007C08D7">
        <w:trPr>
          <w:trHeight w:val="1033"/>
        </w:trPr>
        <w:tc>
          <w:tcPr>
            <w:tcW w:w="1281" w:type="dxa"/>
          </w:tcPr>
          <w:p w14:paraId="0FC9C129" w14:textId="77777777" w:rsidR="004A0F3E" w:rsidRPr="00453343" w:rsidRDefault="004A0F3E" w:rsidP="004A0F3E">
            <w:pPr>
              <w:rPr>
                <w:rFonts w:ascii="Gill Sans MT" w:hAnsi="Gill Sans MT"/>
                <w:b/>
                <w:bCs/>
                <w:sz w:val="16"/>
                <w:szCs w:val="16"/>
                <w:u w:val="single"/>
              </w:rPr>
            </w:pPr>
            <w:r w:rsidRPr="00453343">
              <w:rPr>
                <w:rFonts w:ascii="Gill Sans MT" w:hAnsi="Gill Sans MT"/>
                <w:b/>
                <w:bCs/>
                <w:sz w:val="18"/>
                <w:szCs w:val="18"/>
                <w:u w:val="single"/>
              </w:rPr>
              <w:t>Knowledge</w:t>
            </w:r>
            <w:r w:rsidRPr="00453343">
              <w:rPr>
                <w:rFonts w:ascii="Gill Sans MT" w:hAnsi="Gill Sans MT"/>
                <w:b/>
                <w:bCs/>
                <w:sz w:val="16"/>
                <w:szCs w:val="16"/>
                <w:u w:val="single"/>
              </w:rPr>
              <w:t>:</w:t>
            </w:r>
          </w:p>
          <w:p w14:paraId="058A1BC0" w14:textId="77777777" w:rsidR="004709C5" w:rsidRPr="00453343" w:rsidRDefault="004709C5" w:rsidP="004709C5">
            <w:pPr>
              <w:rPr>
                <w:rFonts w:ascii="Gill Sans MT" w:eastAsia="Arial" w:hAnsi="Gill Sans MT"/>
                <w:color w:val="000000" w:themeColor="text1"/>
                <w:sz w:val="16"/>
                <w:szCs w:val="16"/>
              </w:rPr>
            </w:pPr>
            <w:r w:rsidRPr="00453343">
              <w:rPr>
                <w:rFonts w:ascii="Gill Sans MT" w:eastAsia="Arial" w:hAnsi="Gill Sans MT"/>
                <w:color w:val="000000" w:themeColor="text1"/>
                <w:sz w:val="16"/>
                <w:szCs w:val="16"/>
              </w:rPr>
              <w:t>-Colonisation</w:t>
            </w:r>
          </w:p>
          <w:p w14:paraId="1E574202" w14:textId="77777777" w:rsidR="004709C5" w:rsidRPr="00453343" w:rsidRDefault="004709C5" w:rsidP="004709C5">
            <w:pPr>
              <w:rPr>
                <w:rFonts w:ascii="Gill Sans MT" w:eastAsia="Arial" w:hAnsi="Gill Sans MT"/>
                <w:color w:val="000000" w:themeColor="text1"/>
                <w:sz w:val="16"/>
                <w:szCs w:val="16"/>
              </w:rPr>
            </w:pPr>
            <w:r w:rsidRPr="00453343">
              <w:rPr>
                <w:rFonts w:ascii="Gill Sans MT" w:eastAsia="Arial" w:hAnsi="Gill Sans MT"/>
                <w:color w:val="000000" w:themeColor="text1"/>
                <w:sz w:val="16"/>
                <w:szCs w:val="16"/>
              </w:rPr>
              <w:t>-The Philippines War</w:t>
            </w:r>
          </w:p>
          <w:p w14:paraId="148C157B" w14:textId="77777777" w:rsidR="004709C5" w:rsidRPr="00453343" w:rsidRDefault="004709C5" w:rsidP="004709C5">
            <w:pPr>
              <w:rPr>
                <w:rFonts w:ascii="Gill Sans MT" w:eastAsia="Arial" w:hAnsi="Gill Sans MT"/>
                <w:color w:val="000000" w:themeColor="text1"/>
                <w:sz w:val="16"/>
                <w:szCs w:val="16"/>
              </w:rPr>
            </w:pPr>
            <w:r w:rsidRPr="00453343">
              <w:rPr>
                <w:rFonts w:ascii="Gill Sans MT" w:eastAsia="Arial" w:hAnsi="Gill Sans MT"/>
                <w:color w:val="000000" w:themeColor="text1"/>
                <w:sz w:val="16"/>
                <w:szCs w:val="16"/>
              </w:rPr>
              <w:t>-Bontok culture and traditions</w:t>
            </w:r>
          </w:p>
          <w:p w14:paraId="5D20BF7D" w14:textId="77777777" w:rsidR="004709C5" w:rsidRPr="00453343" w:rsidRDefault="004709C5" w:rsidP="004709C5">
            <w:pPr>
              <w:rPr>
                <w:rFonts w:ascii="Gill Sans MT" w:eastAsia="Arial" w:hAnsi="Gill Sans MT"/>
                <w:color w:val="000000" w:themeColor="text1"/>
                <w:sz w:val="16"/>
                <w:szCs w:val="16"/>
              </w:rPr>
            </w:pPr>
            <w:r w:rsidRPr="00453343">
              <w:rPr>
                <w:rFonts w:ascii="Gill Sans MT" w:eastAsia="Arial" w:hAnsi="Gill Sans MT"/>
                <w:color w:val="000000" w:themeColor="text1"/>
                <w:sz w:val="16"/>
                <w:szCs w:val="16"/>
              </w:rPr>
              <w:t>-Novel structure</w:t>
            </w:r>
          </w:p>
          <w:p w14:paraId="4C5EF3E7" w14:textId="77777777" w:rsidR="004709C5" w:rsidRPr="00453343" w:rsidRDefault="004709C5" w:rsidP="004709C5">
            <w:pPr>
              <w:rPr>
                <w:rFonts w:ascii="Gill Sans MT" w:eastAsia="Arial" w:hAnsi="Gill Sans MT"/>
                <w:color w:val="000000" w:themeColor="text1"/>
                <w:sz w:val="16"/>
                <w:szCs w:val="16"/>
              </w:rPr>
            </w:pPr>
            <w:r w:rsidRPr="00453343">
              <w:rPr>
                <w:rFonts w:ascii="Gill Sans MT" w:eastAsia="Arial" w:hAnsi="Gill Sans MT"/>
                <w:color w:val="000000" w:themeColor="text1"/>
                <w:sz w:val="16"/>
                <w:szCs w:val="16"/>
              </w:rPr>
              <w:t>-Writer’s influence and ‘context’</w:t>
            </w:r>
          </w:p>
          <w:p w14:paraId="17E271A1" w14:textId="42EFD34D" w:rsidR="004A0F3E" w:rsidRPr="00453343" w:rsidRDefault="004A0F3E" w:rsidP="004A0F3E">
            <w:pPr>
              <w:rPr>
                <w:rFonts w:ascii="Gill Sans MT" w:hAnsi="Gill Sans MT"/>
                <w:sz w:val="16"/>
                <w:szCs w:val="16"/>
              </w:rPr>
            </w:pPr>
          </w:p>
        </w:tc>
        <w:tc>
          <w:tcPr>
            <w:tcW w:w="1281" w:type="dxa"/>
          </w:tcPr>
          <w:p w14:paraId="388F3567" w14:textId="77777777" w:rsidR="004A0F3E" w:rsidRPr="00453343" w:rsidRDefault="004A0F3E" w:rsidP="004A0F3E">
            <w:pPr>
              <w:rPr>
                <w:rFonts w:ascii="Gill Sans MT" w:hAnsi="Gill Sans MT"/>
                <w:b/>
                <w:bCs/>
                <w:sz w:val="18"/>
                <w:szCs w:val="18"/>
                <w:u w:val="single"/>
              </w:rPr>
            </w:pPr>
            <w:r w:rsidRPr="00453343">
              <w:rPr>
                <w:rFonts w:ascii="Gill Sans MT" w:hAnsi="Gill Sans MT"/>
                <w:b/>
                <w:bCs/>
                <w:sz w:val="18"/>
                <w:szCs w:val="18"/>
                <w:u w:val="single"/>
              </w:rPr>
              <w:t>Skills:</w:t>
            </w:r>
          </w:p>
          <w:p w14:paraId="0D5890A4" w14:textId="77777777" w:rsidR="004709C5" w:rsidRPr="00453343" w:rsidRDefault="004709C5" w:rsidP="004709C5">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Inference and deduction</w:t>
            </w:r>
          </w:p>
          <w:p w14:paraId="19B19987" w14:textId="77777777" w:rsidR="004709C5" w:rsidRPr="00453343" w:rsidRDefault="004709C5" w:rsidP="004709C5">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Analytical writing, context</w:t>
            </w:r>
          </w:p>
          <w:p w14:paraId="7368E245" w14:textId="4D5BA17D" w:rsidR="004A0F3E" w:rsidRPr="00453343" w:rsidRDefault="004709C5" w:rsidP="004709C5">
            <w:pPr>
              <w:rPr>
                <w:rFonts w:ascii="Gill Sans MT" w:hAnsi="Gill Sans MT"/>
                <w:sz w:val="16"/>
                <w:szCs w:val="16"/>
              </w:rPr>
            </w:pPr>
            <w:r w:rsidRPr="00453343">
              <w:rPr>
                <w:rFonts w:ascii="Gill Sans MT" w:eastAsia="Arial" w:hAnsi="Gill Sans MT"/>
                <w:bCs/>
                <w:color w:val="000000" w:themeColor="text1"/>
                <w:sz w:val="16"/>
                <w:szCs w:val="16"/>
              </w:rPr>
              <w:t>- summary and prioritising key information.</w:t>
            </w:r>
          </w:p>
        </w:tc>
        <w:tc>
          <w:tcPr>
            <w:tcW w:w="1281" w:type="dxa"/>
          </w:tcPr>
          <w:p w14:paraId="1DA0817B"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Knowledge</w:t>
            </w:r>
            <w:r w:rsidRPr="00453343">
              <w:rPr>
                <w:rFonts w:ascii="Gill Sans MT" w:hAnsi="Gill Sans MT"/>
                <w:sz w:val="16"/>
                <w:szCs w:val="16"/>
              </w:rPr>
              <w:t>:</w:t>
            </w:r>
          </w:p>
          <w:p w14:paraId="4E8DDD9E"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xml:space="preserve">- ethos, </w:t>
            </w:r>
            <w:proofErr w:type="gramStart"/>
            <w:r w:rsidRPr="00453343">
              <w:rPr>
                <w:rFonts w:ascii="Gill Sans MT" w:hAnsi="Gill Sans MT"/>
                <w:sz w:val="18"/>
                <w:szCs w:val="18"/>
              </w:rPr>
              <w:t>pathos</w:t>
            </w:r>
            <w:proofErr w:type="gramEnd"/>
            <w:r w:rsidRPr="00453343">
              <w:rPr>
                <w:rFonts w:ascii="Gill Sans MT" w:hAnsi="Gill Sans MT"/>
                <w:sz w:val="18"/>
                <w:szCs w:val="18"/>
              </w:rPr>
              <w:t xml:space="preserve"> and logos</w:t>
            </w:r>
          </w:p>
          <w:p w14:paraId="337BC7B2"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rhetorical devices</w:t>
            </w:r>
          </w:p>
          <w:p w14:paraId="2EA8D494" w14:textId="3572DDD6" w:rsidR="00453343" w:rsidRPr="00453343" w:rsidRDefault="00453343" w:rsidP="00453343">
            <w:pPr>
              <w:rPr>
                <w:rFonts w:ascii="Gill Sans MT" w:hAnsi="Gill Sans MT"/>
                <w:sz w:val="18"/>
                <w:szCs w:val="18"/>
              </w:rPr>
            </w:pPr>
            <w:r w:rsidRPr="00453343">
              <w:rPr>
                <w:rFonts w:ascii="Gill Sans MT" w:hAnsi="Gill Sans MT"/>
                <w:sz w:val="18"/>
                <w:szCs w:val="18"/>
              </w:rPr>
              <w:t xml:space="preserve">-organisational features </w:t>
            </w:r>
          </w:p>
          <w:p w14:paraId="1DEFEE3C"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xml:space="preserve">- The printing </w:t>
            </w:r>
            <w:proofErr w:type="gramStart"/>
            <w:r w:rsidRPr="00453343">
              <w:rPr>
                <w:rFonts w:ascii="Gill Sans MT" w:hAnsi="Gill Sans MT"/>
                <w:sz w:val="18"/>
                <w:szCs w:val="18"/>
              </w:rPr>
              <w:t>press</w:t>
            </w:r>
            <w:proofErr w:type="gramEnd"/>
          </w:p>
          <w:p w14:paraId="18933DAE"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Tabloid vs broadsheet</w:t>
            </w:r>
          </w:p>
          <w:p w14:paraId="63B1F36E"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xml:space="preserve">- Media bias </w:t>
            </w:r>
          </w:p>
          <w:p w14:paraId="3CD4BE25"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Radio/social media/ technology and the news</w:t>
            </w:r>
          </w:p>
          <w:p w14:paraId="79E21157" w14:textId="51D0B3C8" w:rsidR="004A0F3E" w:rsidRPr="00453343" w:rsidRDefault="004A0F3E" w:rsidP="004A0F3E">
            <w:pPr>
              <w:rPr>
                <w:rFonts w:ascii="Gill Sans MT" w:hAnsi="Gill Sans MT"/>
                <w:sz w:val="16"/>
                <w:szCs w:val="16"/>
              </w:rPr>
            </w:pPr>
          </w:p>
        </w:tc>
        <w:tc>
          <w:tcPr>
            <w:tcW w:w="1280" w:type="dxa"/>
          </w:tcPr>
          <w:p w14:paraId="4FCD8ECF"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Skills</w:t>
            </w:r>
            <w:r w:rsidRPr="00453343">
              <w:rPr>
                <w:rFonts w:ascii="Gill Sans MT" w:hAnsi="Gill Sans MT"/>
                <w:sz w:val="16"/>
                <w:szCs w:val="16"/>
              </w:rPr>
              <w:t>:</w:t>
            </w:r>
          </w:p>
          <w:p w14:paraId="479A3FE7" w14:textId="77777777" w:rsidR="004709C5" w:rsidRPr="00453343" w:rsidRDefault="004709C5" w:rsidP="004709C5">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Presenting ideas and viewpoints</w:t>
            </w:r>
          </w:p>
          <w:p w14:paraId="03926673" w14:textId="7B43C8FE" w:rsidR="004709C5" w:rsidRPr="00453343" w:rsidRDefault="004709C5" w:rsidP="004709C5">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xml:space="preserve">- </w:t>
            </w:r>
            <w:r w:rsidRPr="00453343">
              <w:rPr>
                <w:rFonts w:ascii="Gill Sans MT" w:eastAsia="Arial" w:hAnsi="Gill Sans MT"/>
                <w:bCs/>
                <w:color w:val="000000" w:themeColor="text1"/>
                <w:sz w:val="16"/>
                <w:szCs w:val="16"/>
              </w:rPr>
              <w:t xml:space="preserve">writing with a </w:t>
            </w:r>
            <w:r w:rsidRPr="00453343">
              <w:rPr>
                <w:rFonts w:ascii="Gill Sans MT" w:eastAsia="Arial" w:hAnsi="Gill Sans MT"/>
                <w:bCs/>
                <w:color w:val="000000" w:themeColor="text1"/>
                <w:sz w:val="16"/>
                <w:szCs w:val="16"/>
              </w:rPr>
              <w:t>sustained viewpoint</w:t>
            </w:r>
          </w:p>
          <w:p w14:paraId="227101FA" w14:textId="77777777" w:rsidR="004709C5" w:rsidRPr="00453343" w:rsidRDefault="004709C5" w:rsidP="004709C5">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planning and structure for non-fiction</w:t>
            </w:r>
          </w:p>
          <w:p w14:paraId="64659023" w14:textId="77777777" w:rsidR="004709C5" w:rsidRPr="00453343" w:rsidRDefault="004709C5" w:rsidP="004709C5">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effective discourse markers for structure</w:t>
            </w:r>
          </w:p>
          <w:p w14:paraId="19BD65BC" w14:textId="27577106" w:rsidR="004A0F3E" w:rsidRPr="00453343" w:rsidRDefault="004709C5" w:rsidP="004709C5">
            <w:pPr>
              <w:rPr>
                <w:rFonts w:ascii="Gill Sans MT" w:hAnsi="Gill Sans MT"/>
                <w:sz w:val="16"/>
                <w:szCs w:val="16"/>
              </w:rPr>
            </w:pPr>
            <w:r w:rsidRPr="00453343">
              <w:rPr>
                <w:rFonts w:ascii="Gill Sans MT" w:eastAsia="Arial" w:hAnsi="Gill Sans MT"/>
                <w:bCs/>
                <w:color w:val="000000" w:themeColor="text1"/>
                <w:sz w:val="16"/>
                <w:szCs w:val="16"/>
              </w:rPr>
              <w:t>- sentence moods.</w:t>
            </w:r>
          </w:p>
        </w:tc>
        <w:tc>
          <w:tcPr>
            <w:tcW w:w="1349" w:type="dxa"/>
          </w:tcPr>
          <w:p w14:paraId="35209614"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Knowledge</w:t>
            </w:r>
            <w:r w:rsidRPr="00453343">
              <w:rPr>
                <w:rFonts w:ascii="Gill Sans MT" w:hAnsi="Gill Sans MT"/>
                <w:sz w:val="16"/>
                <w:szCs w:val="16"/>
              </w:rPr>
              <w:t>:</w:t>
            </w:r>
          </w:p>
          <w:p w14:paraId="43CECD62" w14:textId="77777777" w:rsidR="00453343" w:rsidRPr="00453343" w:rsidRDefault="00453343" w:rsidP="00453343">
            <w:pPr>
              <w:pStyle w:val="Body"/>
              <w:rPr>
                <w:rFonts w:ascii="Gill Sans MT" w:hAnsi="Gill Sans MT"/>
                <w:sz w:val="18"/>
                <w:szCs w:val="18"/>
              </w:rPr>
            </w:pPr>
            <w:r w:rsidRPr="00453343">
              <w:rPr>
                <w:rFonts w:ascii="Gill Sans MT" w:hAnsi="Gill Sans MT"/>
                <w:sz w:val="18"/>
                <w:szCs w:val="18"/>
              </w:rPr>
              <w:t xml:space="preserve">-what is genre </w:t>
            </w:r>
          </w:p>
          <w:p w14:paraId="6FAA0C54" w14:textId="77777777" w:rsidR="00453343" w:rsidRPr="00453343" w:rsidRDefault="00453343" w:rsidP="00453343">
            <w:pPr>
              <w:pStyle w:val="Body"/>
              <w:rPr>
                <w:rFonts w:ascii="Gill Sans MT" w:hAnsi="Gill Sans MT"/>
                <w:sz w:val="18"/>
                <w:szCs w:val="18"/>
              </w:rPr>
            </w:pPr>
            <w:r w:rsidRPr="00453343">
              <w:rPr>
                <w:rFonts w:ascii="Gill Sans MT" w:hAnsi="Gill Sans MT"/>
                <w:sz w:val="18"/>
                <w:szCs w:val="18"/>
              </w:rPr>
              <w:t>- conventions of the genre</w:t>
            </w:r>
          </w:p>
          <w:p w14:paraId="65E8F2A7" w14:textId="69A7E9A6" w:rsidR="004A0F3E" w:rsidRPr="00453343" w:rsidRDefault="00453343" w:rsidP="00453343">
            <w:pPr>
              <w:rPr>
                <w:rFonts w:ascii="Gill Sans MT" w:hAnsi="Gill Sans MT"/>
                <w:sz w:val="16"/>
                <w:szCs w:val="16"/>
              </w:rPr>
            </w:pPr>
            <w:r w:rsidRPr="00453343">
              <w:rPr>
                <w:rFonts w:ascii="Gill Sans MT" w:hAnsi="Gill Sans MT"/>
                <w:i/>
                <w:iCs/>
                <w:sz w:val="18"/>
                <w:szCs w:val="18"/>
              </w:rPr>
              <w:t>Traditional writers and pre-1900 texts</w:t>
            </w:r>
          </w:p>
        </w:tc>
        <w:tc>
          <w:tcPr>
            <w:tcW w:w="1303" w:type="dxa"/>
          </w:tcPr>
          <w:p w14:paraId="7EA0F2FA"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Skills</w:t>
            </w:r>
            <w:r w:rsidRPr="00453343">
              <w:rPr>
                <w:rFonts w:ascii="Gill Sans MT" w:hAnsi="Gill Sans MT"/>
                <w:sz w:val="16"/>
                <w:szCs w:val="16"/>
              </w:rPr>
              <w:t>:</w:t>
            </w:r>
          </w:p>
          <w:p w14:paraId="1FD8A3E9" w14:textId="77777777" w:rsidR="004709C5" w:rsidRPr="00453343" w:rsidRDefault="004709C5" w:rsidP="004709C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Structural conventions (flash-forward, flashback, duel narrative etc)</w:t>
            </w:r>
          </w:p>
          <w:p w14:paraId="5514E42E" w14:textId="77777777" w:rsidR="004709C5" w:rsidRPr="00453343" w:rsidRDefault="004709C5" w:rsidP="004709C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Effective endings.</w:t>
            </w:r>
          </w:p>
          <w:p w14:paraId="1D829DF1" w14:textId="77777777" w:rsidR="004709C5" w:rsidRPr="00453343" w:rsidRDefault="004709C5" w:rsidP="004709C5">
            <w:pPr>
              <w:pStyle w:val="Body"/>
              <w:rPr>
                <w:rFonts w:ascii="Gill Sans MT" w:eastAsia="Arial" w:hAnsi="Gill Sans MT"/>
                <w:bCs/>
                <w:color w:val="000000" w:themeColor="text1"/>
                <w:sz w:val="16"/>
                <w:szCs w:val="16"/>
                <w:lang w:val="en-GB"/>
              </w:rPr>
            </w:pPr>
            <w:r w:rsidRPr="00453343">
              <w:rPr>
                <w:rFonts w:ascii="Gill Sans MT" w:eastAsia="Arial" w:hAnsi="Gill Sans MT"/>
                <w:b/>
                <w:bCs/>
                <w:color w:val="000000" w:themeColor="text1"/>
                <w:sz w:val="16"/>
                <w:szCs w:val="16"/>
                <w:lang w:val="en-GB"/>
              </w:rPr>
              <w:t>- Spoken language: V</w:t>
            </w:r>
            <w:r w:rsidRPr="00453343">
              <w:rPr>
                <w:rFonts w:ascii="Gill Sans MT" w:eastAsia="Arial" w:hAnsi="Gill Sans MT"/>
                <w:bCs/>
                <w:color w:val="000000" w:themeColor="text1"/>
                <w:sz w:val="16"/>
                <w:szCs w:val="16"/>
                <w:lang w:val="en-GB"/>
              </w:rPr>
              <w:t>erbally co-construct texts.</w:t>
            </w:r>
          </w:p>
          <w:p w14:paraId="11F489BC" w14:textId="6A62A88C" w:rsidR="004A0F3E" w:rsidRPr="00453343" w:rsidRDefault="004A0F3E" w:rsidP="004A0F3E">
            <w:pPr>
              <w:rPr>
                <w:rFonts w:ascii="Gill Sans MT" w:hAnsi="Gill Sans MT"/>
                <w:sz w:val="16"/>
                <w:szCs w:val="16"/>
              </w:rPr>
            </w:pPr>
          </w:p>
        </w:tc>
        <w:tc>
          <w:tcPr>
            <w:tcW w:w="1267" w:type="dxa"/>
          </w:tcPr>
          <w:p w14:paraId="38D31054"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Knowledge</w:t>
            </w:r>
            <w:r w:rsidRPr="00453343">
              <w:rPr>
                <w:rFonts w:ascii="Gill Sans MT" w:hAnsi="Gill Sans MT"/>
                <w:sz w:val="16"/>
                <w:szCs w:val="16"/>
              </w:rPr>
              <w:t>:</w:t>
            </w:r>
          </w:p>
          <w:p w14:paraId="1C0F00B9" w14:textId="77777777" w:rsidR="00453343" w:rsidRPr="00453343" w:rsidRDefault="00453343" w:rsidP="00453343">
            <w:pPr>
              <w:rPr>
                <w:rFonts w:ascii="Gill Sans MT" w:hAnsi="Gill Sans MT"/>
                <w:i/>
                <w:iCs/>
                <w:sz w:val="18"/>
                <w:szCs w:val="18"/>
              </w:rPr>
            </w:pPr>
            <w:r w:rsidRPr="00453343">
              <w:rPr>
                <w:rFonts w:ascii="Gill Sans MT" w:hAnsi="Gill Sans MT"/>
                <w:i/>
                <w:iCs/>
                <w:sz w:val="18"/>
                <w:szCs w:val="18"/>
              </w:rPr>
              <w:t>Traditional writers</w:t>
            </w:r>
          </w:p>
          <w:p w14:paraId="069B87E3"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-iambic pentameter</w:t>
            </w:r>
          </w:p>
          <w:p w14:paraId="29C72AEF" w14:textId="17B8B84E" w:rsidR="007176EA" w:rsidRPr="00453343" w:rsidRDefault="00453343" w:rsidP="00453343">
            <w:pPr>
              <w:rPr>
                <w:rFonts w:ascii="Gill Sans MT" w:hAnsi="Gill Sans MT"/>
                <w:sz w:val="16"/>
                <w:szCs w:val="16"/>
              </w:rPr>
            </w:pPr>
            <w:r w:rsidRPr="00453343">
              <w:rPr>
                <w:rFonts w:ascii="Gill Sans MT" w:hAnsi="Gill Sans MT"/>
                <w:sz w:val="18"/>
                <w:szCs w:val="18"/>
              </w:rPr>
              <w:t>- conventions of form (</w:t>
            </w:r>
            <w:proofErr w:type="gramStart"/>
            <w:r w:rsidRPr="00453343">
              <w:rPr>
                <w:rFonts w:ascii="Gill Sans MT" w:hAnsi="Gill Sans MT"/>
                <w:sz w:val="18"/>
                <w:szCs w:val="18"/>
              </w:rPr>
              <w:t>e.g.</w:t>
            </w:r>
            <w:proofErr w:type="gramEnd"/>
            <w:r w:rsidRPr="00453343">
              <w:rPr>
                <w:rFonts w:ascii="Gill Sans MT" w:hAnsi="Gill Sans MT"/>
                <w:sz w:val="18"/>
                <w:szCs w:val="18"/>
              </w:rPr>
              <w:t xml:space="preserve"> sonnet)</w:t>
            </w:r>
          </w:p>
        </w:tc>
        <w:tc>
          <w:tcPr>
            <w:tcW w:w="1267" w:type="dxa"/>
          </w:tcPr>
          <w:p w14:paraId="601F81BF"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Skills</w:t>
            </w:r>
            <w:r w:rsidRPr="00453343">
              <w:rPr>
                <w:rFonts w:ascii="Gill Sans MT" w:hAnsi="Gill Sans MT"/>
                <w:sz w:val="16"/>
                <w:szCs w:val="16"/>
              </w:rPr>
              <w:t>:</w:t>
            </w:r>
          </w:p>
          <w:p w14:paraId="0B3A1BFD" w14:textId="77777777" w:rsidR="004709C5" w:rsidRPr="00453343" w:rsidRDefault="004709C5" w:rsidP="004709C5">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xml:space="preserve">- Comparative skills particularly language, </w:t>
            </w:r>
          </w:p>
          <w:p w14:paraId="4F507CDF" w14:textId="77777777" w:rsidR="004709C5" w:rsidRPr="00453343" w:rsidRDefault="004709C5" w:rsidP="004709C5">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comparative planning using double bubble</w:t>
            </w:r>
          </w:p>
          <w:p w14:paraId="5DD3472F" w14:textId="77777777" w:rsidR="004709C5" w:rsidRPr="00453343" w:rsidRDefault="004709C5" w:rsidP="004709C5">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poetic devices- rhyme, structure, form, themes</w:t>
            </w:r>
          </w:p>
          <w:p w14:paraId="0D5EBD8E" w14:textId="77777777" w:rsidR="004709C5" w:rsidRPr="00453343" w:rsidRDefault="004709C5" w:rsidP="004709C5">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viewpoint and ideas- (different interpretations and presenting ideas)</w:t>
            </w:r>
          </w:p>
          <w:p w14:paraId="6D5499C1" w14:textId="069A9E25" w:rsidR="007176EA" w:rsidRPr="00453343" w:rsidRDefault="004709C5" w:rsidP="004709C5">
            <w:pPr>
              <w:rPr>
                <w:rFonts w:ascii="Gill Sans MT" w:hAnsi="Gill Sans MT"/>
                <w:sz w:val="16"/>
                <w:szCs w:val="16"/>
              </w:rPr>
            </w:pPr>
            <w:r w:rsidRPr="00453343">
              <w:rPr>
                <w:rFonts w:ascii="Gill Sans MT" w:eastAsia="Arial" w:hAnsi="Gill Sans MT"/>
                <w:bCs/>
                <w:color w:val="000000" w:themeColor="text1"/>
                <w:sz w:val="16"/>
                <w:szCs w:val="16"/>
              </w:rPr>
              <w:t>- context, relationship with other texts/authors, contextual influences.</w:t>
            </w:r>
          </w:p>
        </w:tc>
        <w:tc>
          <w:tcPr>
            <w:tcW w:w="1269" w:type="dxa"/>
          </w:tcPr>
          <w:p w14:paraId="1FE9A1FD"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Knowledge</w:t>
            </w:r>
            <w:r w:rsidRPr="00453343">
              <w:rPr>
                <w:rFonts w:ascii="Gill Sans MT" w:hAnsi="Gill Sans MT"/>
                <w:sz w:val="16"/>
                <w:szCs w:val="16"/>
              </w:rPr>
              <w:t>:</w:t>
            </w:r>
          </w:p>
          <w:p w14:paraId="514430D8"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xml:space="preserve">-tragedy </w:t>
            </w:r>
          </w:p>
          <w:p w14:paraId="4012A3D0" w14:textId="1F2E229C" w:rsidR="00453343" w:rsidRPr="00453343" w:rsidRDefault="00453343" w:rsidP="00453343">
            <w:pPr>
              <w:rPr>
                <w:rFonts w:ascii="Gill Sans MT" w:hAnsi="Gill Sans MT"/>
                <w:sz w:val="18"/>
                <w:szCs w:val="18"/>
              </w:rPr>
            </w:pPr>
            <w:r w:rsidRPr="00453343">
              <w:rPr>
                <w:rFonts w:ascii="Gill Sans MT" w:hAnsi="Gill Sans MT"/>
                <w:sz w:val="18"/>
                <w:szCs w:val="18"/>
              </w:rPr>
              <w:t>Shakespeare’s theatre</w:t>
            </w:r>
          </w:p>
          <w:p w14:paraId="26233822"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James I</w:t>
            </w:r>
          </w:p>
          <w:p w14:paraId="302D3476"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witchcraft/ supernatural</w:t>
            </w:r>
          </w:p>
          <w:p w14:paraId="7C4CFEE0" w14:textId="7CF5060D" w:rsidR="007176EA" w:rsidRPr="00453343" w:rsidRDefault="00453343" w:rsidP="00453343">
            <w:pPr>
              <w:rPr>
                <w:rFonts w:ascii="Gill Sans MT" w:hAnsi="Gill Sans MT"/>
                <w:sz w:val="16"/>
                <w:szCs w:val="16"/>
              </w:rPr>
            </w:pPr>
            <w:r w:rsidRPr="00453343">
              <w:rPr>
                <w:rFonts w:ascii="Gill Sans MT" w:hAnsi="Gill Sans MT"/>
                <w:sz w:val="18"/>
                <w:szCs w:val="18"/>
              </w:rPr>
              <w:t>- pathetic fallacy</w:t>
            </w:r>
            <w:r w:rsidRPr="00453343">
              <w:rPr>
                <w:rFonts w:ascii="Gill Sans MT" w:hAnsi="Gill Sans MT"/>
                <w:sz w:val="16"/>
                <w:szCs w:val="16"/>
              </w:rPr>
              <w:t xml:space="preserve"> </w:t>
            </w:r>
          </w:p>
        </w:tc>
        <w:tc>
          <w:tcPr>
            <w:tcW w:w="1270" w:type="dxa"/>
          </w:tcPr>
          <w:p w14:paraId="58E183AA"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Skills</w:t>
            </w:r>
            <w:r w:rsidRPr="00453343">
              <w:rPr>
                <w:rFonts w:ascii="Gill Sans MT" w:hAnsi="Gill Sans MT"/>
                <w:sz w:val="16"/>
                <w:szCs w:val="16"/>
              </w:rPr>
              <w:t>:</w:t>
            </w:r>
          </w:p>
          <w:p w14:paraId="647741ED" w14:textId="77777777" w:rsidR="004709C5" w:rsidRPr="00453343" w:rsidRDefault="004709C5" w:rsidP="004709C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Appreciation of the text as a performance</w:t>
            </w:r>
          </w:p>
          <w:p w14:paraId="4E29074D" w14:textId="77777777" w:rsidR="004709C5" w:rsidRPr="00453343" w:rsidRDefault="004709C5" w:rsidP="004709C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Further range of dramatic devices</w:t>
            </w:r>
          </w:p>
          <w:p w14:paraId="1709E586" w14:textId="77777777" w:rsidR="004709C5" w:rsidRPr="00453343" w:rsidRDefault="004709C5" w:rsidP="004709C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lang w:val="en-GB"/>
              </w:rPr>
              <w:t>- Impact on modern and contemporary audience.</w:t>
            </w:r>
          </w:p>
          <w:p w14:paraId="619B849C" w14:textId="5EEA7AD6" w:rsidR="00C32235" w:rsidRPr="00453343" w:rsidRDefault="00C32235" w:rsidP="00C32235">
            <w:pPr>
              <w:rPr>
                <w:rFonts w:ascii="Gill Sans MT" w:hAnsi="Gill Sans MT"/>
                <w:sz w:val="16"/>
                <w:szCs w:val="16"/>
              </w:rPr>
            </w:pPr>
          </w:p>
        </w:tc>
        <w:tc>
          <w:tcPr>
            <w:tcW w:w="1270" w:type="dxa"/>
          </w:tcPr>
          <w:p w14:paraId="03BC62D8"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Knowledge</w:t>
            </w:r>
            <w:r w:rsidRPr="00453343">
              <w:rPr>
                <w:rFonts w:ascii="Gill Sans MT" w:hAnsi="Gill Sans MT"/>
                <w:sz w:val="16"/>
                <w:szCs w:val="16"/>
              </w:rPr>
              <w:t>:</w:t>
            </w:r>
          </w:p>
          <w:p w14:paraId="13EA4DD9" w14:textId="77777777" w:rsidR="00453343" w:rsidRPr="00453343" w:rsidRDefault="00453343" w:rsidP="00453343">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xml:space="preserve">  Traditional writers</w:t>
            </w:r>
          </w:p>
          <w:p w14:paraId="1EB92878" w14:textId="77777777" w:rsidR="00453343" w:rsidRPr="00453343" w:rsidRDefault="00453343" w:rsidP="00453343">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-what is conflict?</w:t>
            </w:r>
          </w:p>
          <w:p w14:paraId="405244A2" w14:textId="77777777" w:rsidR="00453343" w:rsidRPr="00453343" w:rsidRDefault="00453343" w:rsidP="00453343">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context of writers and the conflicts they write about (</w:t>
            </w:r>
            <w:proofErr w:type="spellStart"/>
            <w:r w:rsidRPr="00453343">
              <w:rPr>
                <w:rFonts w:ascii="Gill Sans MT" w:eastAsia="Arial" w:hAnsi="Gill Sans MT"/>
                <w:bCs/>
                <w:color w:val="000000" w:themeColor="text1"/>
                <w:sz w:val="16"/>
                <w:szCs w:val="16"/>
                <w:lang w:val="en-GB"/>
              </w:rPr>
              <w:t>e.g</w:t>
            </w:r>
            <w:proofErr w:type="spellEnd"/>
            <w:r w:rsidRPr="00453343">
              <w:rPr>
                <w:rFonts w:ascii="Gill Sans MT" w:eastAsia="Arial" w:hAnsi="Gill Sans MT"/>
                <w:bCs/>
                <w:color w:val="000000" w:themeColor="text1"/>
                <w:sz w:val="16"/>
                <w:szCs w:val="16"/>
                <w:lang w:val="en-GB"/>
              </w:rPr>
              <w:t xml:space="preserve"> WW1/ WW2)</w:t>
            </w:r>
          </w:p>
          <w:p w14:paraId="45A63BC1" w14:textId="2F1FC7CE" w:rsidR="007176EA" w:rsidRPr="00453343" w:rsidRDefault="00453343" w:rsidP="00453343">
            <w:pPr>
              <w:rPr>
                <w:rFonts w:ascii="Gill Sans MT" w:hAnsi="Gill Sans MT"/>
                <w:sz w:val="16"/>
                <w:szCs w:val="16"/>
              </w:rPr>
            </w:pPr>
            <w:r w:rsidRPr="00453343">
              <w:rPr>
                <w:rFonts w:ascii="Gill Sans MT" w:eastAsia="Arial" w:hAnsi="Gill Sans MT"/>
                <w:bCs/>
                <w:color w:val="000000" w:themeColor="text1"/>
                <w:sz w:val="16"/>
                <w:szCs w:val="16"/>
              </w:rPr>
              <w:t>- D-Day (for SPR clip)</w:t>
            </w:r>
          </w:p>
        </w:tc>
        <w:tc>
          <w:tcPr>
            <w:tcW w:w="1270" w:type="dxa"/>
          </w:tcPr>
          <w:p w14:paraId="2B42836D" w14:textId="49C9B64C" w:rsidR="00C32235" w:rsidRPr="00453343" w:rsidRDefault="004A0F3E" w:rsidP="004709C5">
            <w:pPr>
              <w:rPr>
                <w:rFonts w:ascii="Gill Sans MT" w:hAnsi="Gill Sans MT"/>
                <w:sz w:val="16"/>
                <w:szCs w:val="16"/>
              </w:rPr>
            </w:pPr>
            <w:r w:rsidRPr="00453343">
              <w:rPr>
                <w:rFonts w:ascii="Gill Sans MT" w:hAnsi="Gill Sans MT"/>
                <w:b/>
                <w:bCs/>
                <w:sz w:val="18"/>
                <w:szCs w:val="18"/>
                <w:u w:val="single"/>
              </w:rPr>
              <w:t>Skills</w:t>
            </w:r>
            <w:r w:rsidRPr="00453343">
              <w:rPr>
                <w:rFonts w:ascii="Gill Sans MT" w:hAnsi="Gill Sans MT"/>
                <w:sz w:val="16"/>
                <w:szCs w:val="16"/>
              </w:rPr>
              <w:t>:</w:t>
            </w:r>
          </w:p>
          <w:p w14:paraId="31B8A818" w14:textId="77777777" w:rsidR="00C32235" w:rsidRPr="00453343" w:rsidRDefault="00C32235" w:rsidP="00C3223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Narrative perspective</w:t>
            </w:r>
          </w:p>
          <w:p w14:paraId="14155CBD" w14:textId="77777777" w:rsidR="00C32235" w:rsidRPr="00453343" w:rsidRDefault="00C32235" w:rsidP="00C3223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First person writing, tense</w:t>
            </w:r>
          </w:p>
          <w:p w14:paraId="12938519" w14:textId="77777777" w:rsidR="00C32235" w:rsidRPr="00453343" w:rsidRDefault="00C32235" w:rsidP="00C3223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Using text material as a stimulus</w:t>
            </w:r>
          </w:p>
          <w:p w14:paraId="4065B9AB" w14:textId="77777777" w:rsidR="00C32235" w:rsidRPr="00453343" w:rsidRDefault="00C32235" w:rsidP="00C3223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Creating a voice</w:t>
            </w:r>
          </w:p>
          <w:p w14:paraId="1990A7B2" w14:textId="77777777" w:rsidR="00C32235" w:rsidRPr="00453343" w:rsidRDefault="00C32235" w:rsidP="00C3223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Writing styles</w:t>
            </w:r>
          </w:p>
          <w:p w14:paraId="5D7E1195" w14:textId="77777777" w:rsidR="00C32235" w:rsidRPr="00453343" w:rsidRDefault="00C32235" w:rsidP="00C3223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Planning whole piece- narrative</w:t>
            </w:r>
          </w:p>
          <w:p w14:paraId="5C5DBAD1" w14:textId="77777777" w:rsidR="007176EA" w:rsidRPr="00453343" w:rsidRDefault="00C32235" w:rsidP="004709C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Use of sentences for effect.</w:t>
            </w:r>
          </w:p>
          <w:p w14:paraId="263B4C7C" w14:textId="133B53EF" w:rsidR="004709C5" w:rsidRPr="00453343" w:rsidRDefault="004709C5" w:rsidP="004709C5">
            <w:pPr>
              <w:pStyle w:val="Body"/>
              <w:rPr>
                <w:rFonts w:ascii="Gill Sans MT" w:eastAsia="Arial" w:hAnsi="Gill Sans MT"/>
                <w:bCs/>
                <w:color w:val="000000" w:themeColor="text1"/>
                <w:sz w:val="14"/>
                <w:szCs w:val="14"/>
                <w:lang w:val="en-GB"/>
              </w:rPr>
            </w:pPr>
            <w:r w:rsidRPr="00453343">
              <w:rPr>
                <w:rFonts w:ascii="Gill Sans MT" w:eastAsia="Arial" w:hAnsi="Gill Sans MT"/>
                <w:bCs/>
                <w:color w:val="000000" w:themeColor="text1"/>
                <w:sz w:val="16"/>
                <w:szCs w:val="16"/>
                <w:lang w:val="en-GB"/>
              </w:rPr>
              <w:t>-Crafting of linguistic devices for effect</w:t>
            </w:r>
          </w:p>
        </w:tc>
      </w:tr>
    </w:tbl>
    <w:p w14:paraId="74048119" w14:textId="4E5CECF5" w:rsidR="00CA6D8E" w:rsidRDefault="00CA6D8E"/>
    <w:sectPr w:rsidR="00CA6D8E" w:rsidSect="006A0CD0">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5648B" w14:textId="77777777" w:rsidR="00A71B00" w:rsidRDefault="00A71B00" w:rsidP="006A0CD0">
      <w:pPr>
        <w:spacing w:after="0" w:line="240" w:lineRule="auto"/>
      </w:pPr>
      <w:r>
        <w:separator/>
      </w:r>
    </w:p>
  </w:endnote>
  <w:endnote w:type="continuationSeparator" w:id="0">
    <w:p w14:paraId="445A52DE" w14:textId="77777777" w:rsidR="00A71B00" w:rsidRDefault="00A71B00" w:rsidP="006A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0512D" w14:textId="77777777" w:rsidR="00A71B00" w:rsidRDefault="00A71B00" w:rsidP="006A0CD0">
      <w:pPr>
        <w:spacing w:after="0" w:line="240" w:lineRule="auto"/>
      </w:pPr>
      <w:r>
        <w:separator/>
      </w:r>
    </w:p>
  </w:footnote>
  <w:footnote w:type="continuationSeparator" w:id="0">
    <w:p w14:paraId="36B09C04" w14:textId="77777777" w:rsidR="00A71B00" w:rsidRDefault="00A71B00" w:rsidP="006A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8FAD2" w14:textId="2BDFC73C" w:rsidR="00E57308" w:rsidRPr="006A0CD0" w:rsidRDefault="00E57308">
    <w:pPr>
      <w:pStyle w:val="Header"/>
      <w:rPr>
        <w:rFonts w:ascii="Rockwell Condensed" w:hAnsi="Rockwell Condensed"/>
        <w:sz w:val="28"/>
        <w:szCs w:val="28"/>
      </w:rPr>
    </w:pPr>
    <w:r w:rsidRPr="00F61DC8">
      <w:rPr>
        <w:rFonts w:ascii="Rockwell Condensed" w:hAnsi="Rockwell Condensed" w:cs="Biome"/>
        <w:b/>
        <w:bCs/>
        <w:noProof/>
        <w:sz w:val="28"/>
        <w:szCs w:val="28"/>
      </w:rPr>
      <w:drawing>
        <wp:anchor distT="0" distB="0" distL="114300" distR="114300" simplePos="0" relativeHeight="251659264" behindDoc="0" locked="0" layoutInCell="1" allowOverlap="1" wp14:anchorId="3DB91F47" wp14:editId="424AD442">
          <wp:simplePos x="0" y="0"/>
          <wp:positionH relativeFrom="margin">
            <wp:align>left</wp:align>
          </wp:positionH>
          <wp:positionV relativeFrom="paragraph">
            <wp:posOffset>-181314</wp:posOffset>
          </wp:positionV>
          <wp:extent cx="643890" cy="485775"/>
          <wp:effectExtent l="0" t="0" r="3810" b="9525"/>
          <wp:wrapThrough wrapText="bothSides">
            <wp:wrapPolygon edited="0">
              <wp:start x="8947" y="847"/>
              <wp:lineTo x="3195" y="3388"/>
              <wp:lineTo x="0" y="13553"/>
              <wp:lineTo x="0" y="21176"/>
              <wp:lineTo x="21089" y="21176"/>
              <wp:lineTo x="21089" y="13553"/>
              <wp:lineTo x="19811" y="5082"/>
              <wp:lineTo x="12781" y="847"/>
              <wp:lineTo x="8947" y="847"/>
            </wp:wrapPolygon>
          </wp:wrapThrough>
          <wp:docPr id="6" name="Picture 2">
            <a:extLst xmlns:a="http://schemas.openxmlformats.org/drawingml/2006/main">
              <a:ext uri="{FF2B5EF4-FFF2-40B4-BE49-F238E27FC236}">
                <a16:creationId xmlns:a16="http://schemas.microsoft.com/office/drawing/2014/main" id="{EC339F11-EC66-4D52-8651-7E6B416027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EC339F11-EC66-4D52-8651-7E6B4160275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A0CD0">
      <w:rPr>
        <w:rFonts w:ascii="Rockwell Condensed" w:hAnsi="Rockwell Condensed"/>
        <w:sz w:val="28"/>
        <w:szCs w:val="28"/>
      </w:rPr>
      <w:t xml:space="preserve">Stockland Green School: English Curriculum (Year </w:t>
    </w:r>
    <w:r w:rsidR="004709C5">
      <w:rPr>
        <w:rFonts w:ascii="Rockwell Condensed" w:hAnsi="Rockwell Condensed"/>
        <w:sz w:val="28"/>
        <w:szCs w:val="28"/>
      </w:rPr>
      <w:t>8</w:t>
    </w:r>
    <w:r w:rsidRPr="006A0CD0">
      <w:rPr>
        <w:rFonts w:ascii="Rockwell Condensed" w:hAnsi="Rockwell Condensed"/>
        <w:sz w:val="28"/>
        <w:szCs w:val="28"/>
      </w:rPr>
      <w:t>)</w:t>
    </w:r>
  </w:p>
  <w:p w14:paraId="081DB13D" w14:textId="77777777" w:rsidR="00E57308" w:rsidRDefault="00E57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A5900"/>
    <w:multiLevelType w:val="hybridMultilevel"/>
    <w:tmpl w:val="42B2FA24"/>
    <w:lvl w:ilvl="0" w:tplc="8AA087A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D0"/>
    <w:rsid w:val="0001295B"/>
    <w:rsid w:val="00237DFA"/>
    <w:rsid w:val="00453343"/>
    <w:rsid w:val="004709C5"/>
    <w:rsid w:val="004A0F3E"/>
    <w:rsid w:val="006908D2"/>
    <w:rsid w:val="006A0CD0"/>
    <w:rsid w:val="006A34AD"/>
    <w:rsid w:val="006F1448"/>
    <w:rsid w:val="00715A84"/>
    <w:rsid w:val="007176EA"/>
    <w:rsid w:val="00846B7C"/>
    <w:rsid w:val="00943DAC"/>
    <w:rsid w:val="00A71B00"/>
    <w:rsid w:val="00AF2995"/>
    <w:rsid w:val="00BE74D5"/>
    <w:rsid w:val="00C32235"/>
    <w:rsid w:val="00CA6D8E"/>
    <w:rsid w:val="00DD5B59"/>
    <w:rsid w:val="00E57308"/>
    <w:rsid w:val="00ED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E346"/>
  <w15:chartTrackingRefBased/>
  <w15:docId w15:val="{2C06F3DA-AB54-4DC2-9F7A-5D9DD9B0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CD0"/>
  </w:style>
  <w:style w:type="paragraph" w:styleId="Footer">
    <w:name w:val="footer"/>
    <w:basedOn w:val="Normal"/>
    <w:link w:val="FooterChar"/>
    <w:uiPriority w:val="99"/>
    <w:unhideWhenUsed/>
    <w:rsid w:val="006A0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CD0"/>
  </w:style>
  <w:style w:type="table" w:styleId="TableGrid">
    <w:name w:val="Table Grid"/>
    <w:basedOn w:val="TableNormal"/>
    <w:uiPriority w:val="39"/>
    <w:rsid w:val="006A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4D5"/>
    <w:pPr>
      <w:ind w:left="720"/>
      <w:contextualSpacing/>
    </w:pPr>
  </w:style>
  <w:style w:type="paragraph" w:customStyle="1" w:styleId="Body">
    <w:name w:val="Body"/>
    <w:rsid w:val="00C32235"/>
    <w:pPr>
      <w:pBdr>
        <w:top w:val="nil"/>
        <w:left w:val="nil"/>
        <w:bottom w:val="nil"/>
        <w:right w:val="nil"/>
        <w:between w:val="nil"/>
        <w:bar w:val="nil"/>
      </w:pBdr>
    </w:pPr>
    <w:rPr>
      <w:rFonts w:ascii="Calibri" w:eastAsia="Calibri" w:hAnsi="Calibri" w:cs="Calibri"/>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Ryan</dc:creator>
  <cp:keywords/>
  <dc:description/>
  <cp:lastModifiedBy>Natalie Ryan</cp:lastModifiedBy>
  <cp:revision>6</cp:revision>
  <dcterms:created xsi:type="dcterms:W3CDTF">2021-09-23T17:51:00Z</dcterms:created>
  <dcterms:modified xsi:type="dcterms:W3CDTF">2021-09-24T08:10:00Z</dcterms:modified>
</cp:coreProperties>
</file>