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8474" w14:textId="17F07C4C" w:rsidR="0081691E" w:rsidRDefault="00262A2C" w:rsidP="00262A2C">
      <w:pPr>
        <w:jc w:val="right"/>
        <w:rPr>
          <w:rFonts w:ascii="Segoe UI" w:hAnsi="Segoe UI" w:cs="Segoe UI"/>
          <w:sz w:val="20"/>
          <w:szCs w:val="20"/>
        </w:rPr>
      </w:pPr>
      <w:r w:rsidRPr="00262A2C"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7FDD39DC" wp14:editId="6501AD59">
            <wp:extent cx="1162212" cy="895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2212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B5A57" wp14:editId="61BBA963">
                <wp:simplePos x="0" y="0"/>
                <wp:positionH relativeFrom="column">
                  <wp:posOffset>6587490</wp:posOffset>
                </wp:positionH>
                <wp:positionV relativeFrom="paragraph">
                  <wp:posOffset>144780</wp:posOffset>
                </wp:positionV>
                <wp:extent cx="480060" cy="114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0060" cy="1143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31F0C" id="Rectangle 2" o:spid="_x0000_s1026" style="position:absolute;margin-left:518.7pt;margin-top:11.4pt;width:37.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" fillcolor="#f60" stroked="f" strokeweight="1pt"/>
            </w:pict>
          </mc:Fallback>
        </mc:AlternateContent>
      </w:r>
      <w:r>
        <w:rPr>
          <w:rFonts w:ascii="Segoe UI" w:hAnsi="Segoe UI" w:cs="Segoe U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476965" wp14:editId="0CB8D737">
                <wp:simplePos x="0" y="0"/>
                <wp:positionH relativeFrom="page">
                  <wp:align>left</wp:align>
                </wp:positionH>
                <wp:positionV relativeFrom="paragraph">
                  <wp:posOffset>144780</wp:posOffset>
                </wp:positionV>
                <wp:extent cx="5951220" cy="1143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1220" cy="1143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823BB" id="Rectangle 1" o:spid="_x0000_s1026" style="position:absolute;margin-left:0;margin-top:11.4pt;width:468.6pt;height:9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" fillcolor="#f60" stroked="f" strokeweight="1pt">
                <w10:wrap anchorx="page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7"/>
        <w:gridCol w:w="5559"/>
      </w:tblGrid>
      <w:tr w:rsidR="00E21944" w:rsidRPr="00C84B89" w14:paraId="52E1FB2F" w14:textId="77777777" w:rsidTr="00F36998">
        <w:tc>
          <w:tcPr>
            <w:tcW w:w="10456" w:type="dxa"/>
            <w:gridSpan w:val="2"/>
            <w:shd w:val="clear" w:color="auto" w:fill="404040" w:themeFill="text1" w:themeFillTint="BF"/>
          </w:tcPr>
          <w:p w14:paraId="49E0DF43" w14:textId="77777777" w:rsidR="00E21944" w:rsidRPr="00866E32" w:rsidRDefault="00DA3E94" w:rsidP="00866E32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52"/>
                <w:szCs w:val="52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52"/>
                <w:szCs w:val="52"/>
              </w:rPr>
              <w:t xml:space="preserve">EXAMINATIONS POLICIES </w:t>
            </w:r>
          </w:p>
        </w:tc>
      </w:tr>
      <w:tr w:rsidR="00866E32" w:rsidRPr="00866E32" w14:paraId="14B455A4" w14:textId="77777777" w:rsidTr="00262A2C">
        <w:tc>
          <w:tcPr>
            <w:tcW w:w="4897" w:type="dxa"/>
          </w:tcPr>
          <w:p w14:paraId="426E1EDA" w14:textId="367F1AAC" w:rsidR="00866E32" w:rsidRPr="007F0382" w:rsidRDefault="00866E32" w:rsidP="00EE7120">
            <w:pPr>
              <w:rPr>
                <w:rFonts w:ascii="Segoe UI" w:hAnsi="Segoe UI" w:cs="Segoe UI"/>
                <w:b/>
                <w:color w:val="FF0000"/>
                <w:sz w:val="24"/>
                <w:szCs w:val="24"/>
              </w:rPr>
            </w:pPr>
            <w:r w:rsidRPr="00866E32">
              <w:rPr>
                <w:rFonts w:ascii="Segoe UI" w:hAnsi="Segoe UI" w:cs="Segoe UI"/>
                <w:b/>
                <w:sz w:val="24"/>
                <w:szCs w:val="24"/>
              </w:rPr>
              <w:t>Approved by:</w:t>
            </w:r>
            <w:r w:rsidR="00EE7120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="00255C95">
              <w:rPr>
                <w:rFonts w:ascii="Segoe UI" w:hAnsi="Segoe UI" w:cs="Segoe UI"/>
                <w:b/>
                <w:sz w:val="24"/>
                <w:szCs w:val="24"/>
              </w:rPr>
              <w:t xml:space="preserve">SGS Leadership Team </w:t>
            </w:r>
          </w:p>
        </w:tc>
        <w:tc>
          <w:tcPr>
            <w:tcW w:w="5559" w:type="dxa"/>
          </w:tcPr>
          <w:p w14:paraId="15A276CD" w14:textId="2A03253F" w:rsidR="00866E32" w:rsidRPr="00866E32" w:rsidRDefault="00866E32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866E32">
              <w:rPr>
                <w:rFonts w:ascii="Segoe UI" w:hAnsi="Segoe UI" w:cs="Segoe UI"/>
                <w:b/>
                <w:sz w:val="24"/>
                <w:szCs w:val="24"/>
              </w:rPr>
              <w:t>Date:</w:t>
            </w:r>
            <w:r w:rsidR="00CB173F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="004D0BAB">
              <w:rPr>
                <w:rFonts w:ascii="Segoe UI" w:hAnsi="Segoe UI" w:cs="Segoe UI"/>
                <w:b/>
                <w:sz w:val="24"/>
                <w:szCs w:val="24"/>
              </w:rPr>
              <w:t>September 202</w:t>
            </w:r>
            <w:r w:rsidR="008D57CE">
              <w:rPr>
                <w:rFonts w:ascii="Segoe UI" w:hAnsi="Segoe UI" w:cs="Segoe UI"/>
                <w:b/>
                <w:sz w:val="24"/>
                <w:szCs w:val="24"/>
              </w:rPr>
              <w:t>1</w:t>
            </w:r>
          </w:p>
        </w:tc>
      </w:tr>
      <w:tr w:rsidR="00866E32" w:rsidRPr="00866E32" w14:paraId="3FE0053D" w14:textId="77777777" w:rsidTr="00262A2C">
        <w:trPr>
          <w:trHeight w:val="2113"/>
        </w:trPr>
        <w:tc>
          <w:tcPr>
            <w:tcW w:w="4897" w:type="dxa"/>
          </w:tcPr>
          <w:p w14:paraId="65462CC6" w14:textId="46CC1FCC" w:rsidR="00CB173F" w:rsidRPr="00CB173F" w:rsidRDefault="00866E32" w:rsidP="00CB173F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866E32">
              <w:rPr>
                <w:rFonts w:ascii="Segoe UI" w:hAnsi="Segoe UI" w:cs="Segoe UI"/>
                <w:b/>
                <w:sz w:val="24"/>
                <w:szCs w:val="24"/>
              </w:rPr>
              <w:t>Review date:</w:t>
            </w:r>
            <w:r w:rsidR="00CB173F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="00CB173F" w:rsidRPr="00CB173F">
              <w:rPr>
                <w:rFonts w:ascii="Segoe UI" w:hAnsi="Segoe UI" w:cs="Segoe UI"/>
                <w:b/>
                <w:sz w:val="24"/>
                <w:szCs w:val="24"/>
              </w:rPr>
              <w:t>September 202</w:t>
            </w:r>
            <w:r w:rsidR="007C0D90">
              <w:rPr>
                <w:rFonts w:ascii="Segoe UI" w:hAnsi="Segoe UI" w:cs="Segoe UI"/>
                <w:b/>
                <w:sz w:val="24"/>
                <w:szCs w:val="24"/>
              </w:rPr>
              <w:t>1</w:t>
            </w:r>
            <w:r w:rsidR="00CB173F" w:rsidRPr="00CB173F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</w:p>
          <w:p w14:paraId="50308A9C" w14:textId="77777777" w:rsidR="00866E32" w:rsidRPr="00866E32" w:rsidRDefault="00DA3E94" w:rsidP="00CB173F">
            <w:pPr>
              <w:spacing w:after="160" w:line="259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Exam policies and our Contingency Plan are</w:t>
            </w:r>
            <w:r w:rsidR="00CB173F" w:rsidRPr="00CB173F">
              <w:rPr>
                <w:rFonts w:ascii="Segoe UI" w:hAnsi="Segoe UI" w:cs="Segoe UI"/>
                <w:sz w:val="20"/>
                <w:szCs w:val="20"/>
              </w:rPr>
              <w:t xml:space="preserve"> reviewed and updated annually on the publication of updated JCQ regulations and guidance on access arrangements and instructions for conducting exams</w:t>
            </w:r>
            <w:r w:rsidR="00CB173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5559" w:type="dxa"/>
          </w:tcPr>
          <w:p w14:paraId="1B28B0A7" w14:textId="62CB8C6A" w:rsidR="00866E32" w:rsidRDefault="00866E32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866E32">
              <w:rPr>
                <w:rFonts w:ascii="Segoe UI" w:hAnsi="Segoe UI" w:cs="Segoe UI"/>
                <w:b/>
                <w:sz w:val="24"/>
                <w:szCs w:val="24"/>
              </w:rPr>
              <w:t>Responsibility:</w:t>
            </w:r>
            <w:r w:rsidR="00CB173F">
              <w:rPr>
                <w:rFonts w:ascii="Segoe UI" w:hAnsi="Segoe UI" w:cs="Segoe UI"/>
                <w:b/>
                <w:sz w:val="24"/>
                <w:szCs w:val="24"/>
              </w:rPr>
              <w:t xml:space="preserve"> Head of Centre</w:t>
            </w:r>
            <w:r w:rsidR="00FA0B01">
              <w:rPr>
                <w:rFonts w:ascii="Segoe UI" w:hAnsi="Segoe UI" w:cs="Segoe UI"/>
                <w:b/>
                <w:sz w:val="24"/>
                <w:szCs w:val="24"/>
              </w:rPr>
              <w:t>:</w:t>
            </w:r>
            <w:r w:rsidR="00A42361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="008D57CE">
              <w:rPr>
                <w:rFonts w:ascii="Segoe UI" w:hAnsi="Segoe UI" w:cs="Segoe UI"/>
                <w:b/>
                <w:sz w:val="24"/>
                <w:szCs w:val="24"/>
              </w:rPr>
              <w:t xml:space="preserve">Marie George </w:t>
            </w:r>
          </w:p>
          <w:p w14:paraId="030DA474" w14:textId="5A6BD8CF" w:rsidR="00086F96" w:rsidRDefault="007925E8" w:rsidP="00086F96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Style w:val="Hyperlink"/>
                <w:rFonts w:ascii="Segoe UI" w:hAnsi="Segoe UI" w:cs="Segoe UI"/>
                <w:sz w:val="20"/>
                <w:szCs w:val="20"/>
              </w:rPr>
              <w:t xml:space="preserve"> </w:t>
            </w:r>
            <w:r w:rsidR="00086F96">
              <w:rPr>
                <w:rFonts w:ascii="Segoe UI" w:hAnsi="Segoe UI" w:cs="Segoe UI"/>
                <w:sz w:val="20"/>
                <w:szCs w:val="20"/>
              </w:rPr>
              <w:t>For the academic year 202</w:t>
            </w:r>
            <w:r w:rsidR="008D57CE">
              <w:rPr>
                <w:rFonts w:ascii="Segoe UI" w:hAnsi="Segoe UI" w:cs="Segoe UI"/>
                <w:sz w:val="20"/>
                <w:szCs w:val="20"/>
              </w:rPr>
              <w:t>1</w:t>
            </w:r>
            <w:r w:rsidR="00086F96">
              <w:rPr>
                <w:rFonts w:ascii="Segoe UI" w:hAnsi="Segoe UI" w:cs="Segoe UI"/>
                <w:sz w:val="20"/>
                <w:szCs w:val="20"/>
              </w:rPr>
              <w:t>/2</w:t>
            </w:r>
            <w:r w:rsidR="008D57CE">
              <w:rPr>
                <w:rFonts w:ascii="Segoe UI" w:hAnsi="Segoe UI" w:cs="Segoe UI"/>
                <w:sz w:val="20"/>
                <w:szCs w:val="20"/>
              </w:rPr>
              <w:t>2</w:t>
            </w:r>
            <w:r w:rsidR="00086F96">
              <w:rPr>
                <w:rFonts w:ascii="Segoe UI" w:hAnsi="Segoe UI" w:cs="Segoe UI"/>
                <w:sz w:val="20"/>
                <w:szCs w:val="20"/>
              </w:rPr>
              <w:t xml:space="preserve"> we reserve the right to adapt our policies and contingency arrangements in line with government guidance: </w:t>
            </w:r>
          </w:p>
          <w:p w14:paraId="3D6AA8F1" w14:textId="77777777" w:rsidR="00A33411" w:rsidRPr="00A33411" w:rsidRDefault="00D826E5" w:rsidP="00086F96">
            <w:pPr>
              <w:rPr>
                <w:rFonts w:ascii="Segoe UI" w:hAnsi="Segoe UI" w:cs="Segoe UI"/>
                <w:sz w:val="20"/>
                <w:szCs w:val="20"/>
              </w:rPr>
            </w:pPr>
            <w:hyperlink r:id="rId8" w:history="1">
              <w:r w:rsidR="00086F96" w:rsidRPr="007925E8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https://www.gov.uk/government/publications/responsibility-for-autumn-gcse-as-and-a-level-exam-series/public-health-arrangements-for-autumn-exams</w:t>
              </w:r>
            </w:hyperlink>
          </w:p>
        </w:tc>
      </w:tr>
      <w:tr w:rsidR="00866E32" w:rsidRPr="00866E32" w14:paraId="78C3A228" w14:textId="77777777" w:rsidTr="00F36998">
        <w:tc>
          <w:tcPr>
            <w:tcW w:w="10456" w:type="dxa"/>
            <w:gridSpan w:val="2"/>
            <w:shd w:val="clear" w:color="auto" w:fill="A6A6A6" w:themeFill="background1" w:themeFillShade="A6"/>
          </w:tcPr>
          <w:p w14:paraId="1035BDEB" w14:textId="77777777" w:rsidR="00866E32" w:rsidRPr="00866E32" w:rsidRDefault="00866E32" w:rsidP="00DA3E94">
            <w:pPr>
              <w:pStyle w:val="ListParagraph"/>
              <w:ind w:left="360"/>
              <w:rPr>
                <w:rFonts w:ascii="Segoe UI" w:hAnsi="Segoe UI" w:cs="Segoe UI"/>
                <w:b/>
                <w:sz w:val="24"/>
                <w:szCs w:val="24"/>
              </w:rPr>
            </w:pPr>
            <w:r w:rsidRPr="00866E32">
              <w:rPr>
                <w:rFonts w:ascii="Segoe UI" w:hAnsi="Segoe UI" w:cs="Segoe UI"/>
                <w:b/>
                <w:sz w:val="24"/>
                <w:szCs w:val="24"/>
              </w:rPr>
              <w:t xml:space="preserve">Introduction and </w:t>
            </w:r>
            <w:proofErr w:type="gramStart"/>
            <w:r w:rsidRPr="00866E32">
              <w:rPr>
                <w:rFonts w:ascii="Segoe UI" w:hAnsi="Segoe UI" w:cs="Segoe UI"/>
                <w:b/>
                <w:sz w:val="24"/>
                <w:szCs w:val="24"/>
              </w:rPr>
              <w:t>Aims</w:t>
            </w:r>
            <w:proofErr w:type="gramEnd"/>
          </w:p>
        </w:tc>
      </w:tr>
      <w:tr w:rsidR="00866E32" w14:paraId="0179F652" w14:textId="77777777" w:rsidTr="004D0BAB">
        <w:tc>
          <w:tcPr>
            <w:tcW w:w="10456" w:type="dxa"/>
            <w:gridSpan w:val="2"/>
          </w:tcPr>
          <w:p w14:paraId="0430C4CE" w14:textId="6D2EB02A" w:rsidR="00866E32" w:rsidRPr="00C71ECD" w:rsidRDefault="008D57CE" w:rsidP="008E6A37">
            <w:pPr>
              <w:pStyle w:val="1bodycopy10pt"/>
              <w:spacing w:after="0"/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lang w:val="en-GB"/>
              </w:rPr>
              <w:t>Stockland Green School</w:t>
            </w:r>
            <w:r w:rsidR="00866E32" w:rsidRPr="00C71ECD">
              <w:rPr>
                <w:rFonts w:ascii="Segoe UI" w:hAnsi="Segoe UI" w:cs="Segoe UI"/>
                <w:lang w:val="en-GB"/>
              </w:rPr>
              <w:t xml:space="preserve"> is committed to ensuring that exams are managed and administered effectively. </w:t>
            </w:r>
          </w:p>
          <w:p w14:paraId="5DFAD871" w14:textId="77777777" w:rsidR="00866E32" w:rsidRPr="00C71ECD" w:rsidRDefault="00866E32" w:rsidP="008E6A37">
            <w:pPr>
              <w:pStyle w:val="1bodycopy10pt"/>
              <w:spacing w:after="0"/>
              <w:rPr>
                <w:rFonts w:ascii="Segoe UI" w:hAnsi="Segoe UI" w:cs="Segoe UI"/>
                <w:lang w:val="en-GB"/>
              </w:rPr>
            </w:pPr>
            <w:r w:rsidRPr="00C71ECD">
              <w:rPr>
                <w:rFonts w:ascii="Segoe UI" w:hAnsi="Segoe UI" w:cs="Segoe UI"/>
                <w:lang w:val="en-GB"/>
              </w:rPr>
              <w:t>The aim of this policy is to ensure:</w:t>
            </w:r>
          </w:p>
          <w:p w14:paraId="7B4E5D6F" w14:textId="77777777" w:rsidR="00866E32" w:rsidRPr="00C71ECD" w:rsidRDefault="00866E32" w:rsidP="008E6A37">
            <w:pPr>
              <w:pStyle w:val="4Bulletedcopyblue"/>
              <w:numPr>
                <w:ilvl w:val="0"/>
                <w:numId w:val="5"/>
              </w:numPr>
              <w:spacing w:after="0"/>
              <w:rPr>
                <w:rFonts w:ascii="Segoe UI" w:hAnsi="Segoe UI" w:cs="Segoe UI"/>
                <w:lang w:val="en-GB"/>
              </w:rPr>
            </w:pPr>
            <w:r w:rsidRPr="00C71ECD">
              <w:rPr>
                <w:rFonts w:ascii="Segoe UI" w:hAnsi="Segoe UI" w:cs="Segoe UI"/>
                <w:lang w:val="en-GB"/>
              </w:rPr>
              <w:t>The planning and management of exams is conducted in the best interest of candidates</w:t>
            </w:r>
          </w:p>
          <w:p w14:paraId="08636B3B" w14:textId="77777777" w:rsidR="00866E32" w:rsidRPr="00C71ECD" w:rsidRDefault="00866E32" w:rsidP="008E6A37">
            <w:pPr>
              <w:pStyle w:val="4Bulletedcopyblue"/>
              <w:numPr>
                <w:ilvl w:val="0"/>
                <w:numId w:val="5"/>
              </w:numPr>
              <w:spacing w:after="0"/>
              <w:rPr>
                <w:rFonts w:ascii="Segoe UI" w:hAnsi="Segoe UI" w:cs="Segoe UI"/>
                <w:lang w:val="en-GB"/>
              </w:rPr>
            </w:pPr>
            <w:r w:rsidRPr="00C71ECD">
              <w:rPr>
                <w:rFonts w:ascii="Segoe UI" w:hAnsi="Segoe UI" w:cs="Segoe UI"/>
                <w:lang w:val="en-GB"/>
              </w:rPr>
              <w:t>Our system of exams administration is efficient and clear, and staff and pupils understand what is required and expected of them</w:t>
            </w:r>
          </w:p>
          <w:p w14:paraId="69156C4E" w14:textId="77777777" w:rsidR="00866E32" w:rsidRDefault="00866E32" w:rsidP="008E6A37">
            <w:pPr>
              <w:pStyle w:val="4Bulletedcopyblue"/>
              <w:numPr>
                <w:ilvl w:val="0"/>
                <w:numId w:val="5"/>
              </w:numPr>
              <w:spacing w:after="0"/>
              <w:rPr>
                <w:rFonts w:ascii="Segoe UI" w:hAnsi="Segoe UI" w:cs="Segoe UI"/>
                <w:lang w:val="en-GB"/>
              </w:rPr>
            </w:pPr>
            <w:r w:rsidRPr="00C71ECD">
              <w:rPr>
                <w:rFonts w:ascii="Segoe UI" w:hAnsi="Segoe UI" w:cs="Segoe UI"/>
                <w:lang w:val="en-GB"/>
              </w:rPr>
              <w:t>We comply with requirements and guidance set out by the Joint Council for Qualifications and awarding bodies</w:t>
            </w:r>
          </w:p>
          <w:p w14:paraId="75E8DD2D" w14:textId="062032F9" w:rsidR="00DA3E94" w:rsidRPr="00866E32" w:rsidRDefault="00DA3E94" w:rsidP="00FD6191">
            <w:pPr>
              <w:pStyle w:val="4Bulletedcopyblue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lang w:val="en-GB"/>
              </w:rPr>
              <w:t xml:space="preserve">The following policies have been updated and reviewed in line with </w:t>
            </w:r>
            <w:r w:rsidRPr="00C71ECD">
              <w:rPr>
                <w:rFonts w:ascii="Segoe UI" w:hAnsi="Segoe UI" w:cs="Segoe UI"/>
                <w:lang w:val="en-GB"/>
              </w:rPr>
              <w:t>the Joint Council for Qualifications (JCQ) and awarding bodies</w:t>
            </w:r>
            <w:r>
              <w:rPr>
                <w:rFonts w:ascii="Segoe UI" w:hAnsi="Segoe UI" w:cs="Segoe UI"/>
                <w:lang w:val="en-GB"/>
              </w:rPr>
              <w:t xml:space="preserve"> for exam season 2</w:t>
            </w:r>
            <w:r w:rsidR="00FA0B01">
              <w:rPr>
                <w:rFonts w:ascii="Segoe UI" w:hAnsi="Segoe UI" w:cs="Segoe UI"/>
                <w:lang w:val="en-GB"/>
              </w:rPr>
              <w:t>02</w:t>
            </w:r>
            <w:r w:rsidR="008D57CE">
              <w:rPr>
                <w:rFonts w:ascii="Segoe UI" w:hAnsi="Segoe UI" w:cs="Segoe UI"/>
                <w:lang w:val="en-GB"/>
              </w:rPr>
              <w:t>1</w:t>
            </w:r>
            <w:r w:rsidR="00FA0B01">
              <w:rPr>
                <w:rFonts w:ascii="Segoe UI" w:hAnsi="Segoe UI" w:cs="Segoe UI"/>
                <w:lang w:val="en-GB"/>
              </w:rPr>
              <w:t>-202</w:t>
            </w:r>
            <w:r w:rsidR="008D57CE">
              <w:rPr>
                <w:rFonts w:ascii="Segoe UI" w:hAnsi="Segoe UI" w:cs="Segoe UI"/>
                <w:lang w:val="en-GB"/>
              </w:rPr>
              <w:t>2</w:t>
            </w:r>
            <w:r>
              <w:rPr>
                <w:rFonts w:ascii="Segoe UI" w:hAnsi="Segoe UI" w:cs="Segoe UI"/>
                <w:lang w:val="en-GB"/>
              </w:rPr>
              <w:t>.</w:t>
            </w:r>
            <w:r w:rsidR="00FD6191">
              <w:rPr>
                <w:rFonts w:ascii="Segoe UI" w:hAnsi="Segoe UI" w:cs="Segoe UI"/>
                <w:lang w:val="en-GB"/>
              </w:rPr>
              <w:t xml:space="preserve"> </w:t>
            </w:r>
          </w:p>
        </w:tc>
      </w:tr>
      <w:tr w:rsidR="00866E32" w14:paraId="662A5099" w14:textId="77777777" w:rsidTr="00F36998">
        <w:tc>
          <w:tcPr>
            <w:tcW w:w="10456" w:type="dxa"/>
            <w:gridSpan w:val="2"/>
            <w:shd w:val="clear" w:color="auto" w:fill="A6A6A6" w:themeFill="background1" w:themeFillShade="A6"/>
          </w:tcPr>
          <w:p w14:paraId="3EEB5BB7" w14:textId="77777777" w:rsidR="00866E32" w:rsidRPr="000617F2" w:rsidRDefault="00843CB4" w:rsidP="008E6A3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Head of Centre Dec</w:t>
            </w:r>
            <w:r w:rsidR="001F354C">
              <w:rPr>
                <w:rFonts w:ascii="Segoe UI" w:hAnsi="Segoe UI" w:cs="Segoe UI"/>
                <w:b/>
                <w:sz w:val="24"/>
                <w:szCs w:val="24"/>
              </w:rPr>
              <w:t>laration</w:t>
            </w:r>
          </w:p>
        </w:tc>
      </w:tr>
      <w:tr w:rsidR="00866E32" w14:paraId="6B7EF1CE" w14:textId="77777777" w:rsidTr="004D0BAB">
        <w:tc>
          <w:tcPr>
            <w:tcW w:w="1045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54"/>
            </w:tblGrid>
            <w:tr w:rsidR="001F354C" w:rsidRPr="0021685B" w14:paraId="6EA0D15B" w14:textId="77777777">
              <w:trPr>
                <w:trHeight w:val="101"/>
              </w:trPr>
              <w:tc>
                <w:tcPr>
                  <w:tcW w:w="0" w:type="auto"/>
                </w:tcPr>
                <w:p w14:paraId="0062F014" w14:textId="674F1F14" w:rsidR="001F354C" w:rsidRPr="0021685B" w:rsidRDefault="001F354C" w:rsidP="001F354C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21685B">
                    <w:rPr>
                      <w:rFonts w:ascii="Segoe UI" w:hAnsi="Segoe UI" w:cs="Segoe UI"/>
                      <w:sz w:val="20"/>
                      <w:szCs w:val="20"/>
                    </w:rPr>
                    <w:t xml:space="preserve"> A copy of the head of centre’s declaration for the academic year 20</w:t>
                  </w:r>
                  <w:r w:rsidR="00FA0B01">
                    <w:rPr>
                      <w:rFonts w:ascii="Segoe UI" w:hAnsi="Segoe UI" w:cs="Segoe UI"/>
                      <w:sz w:val="20"/>
                      <w:szCs w:val="20"/>
                    </w:rPr>
                    <w:t>2</w:t>
                  </w:r>
                  <w:r w:rsidR="00CD62CD">
                    <w:rPr>
                      <w:rFonts w:ascii="Segoe UI" w:hAnsi="Segoe UI" w:cs="Segoe UI"/>
                      <w:sz w:val="20"/>
                      <w:szCs w:val="20"/>
                    </w:rPr>
                    <w:t>1</w:t>
                  </w:r>
                  <w:r w:rsidR="00FA0B01">
                    <w:rPr>
                      <w:rFonts w:ascii="Segoe UI" w:hAnsi="Segoe UI" w:cs="Segoe UI"/>
                      <w:sz w:val="20"/>
                      <w:szCs w:val="20"/>
                    </w:rPr>
                    <w:t>-202</w:t>
                  </w:r>
                  <w:r w:rsidR="00CD62CD">
                    <w:rPr>
                      <w:rFonts w:ascii="Segoe UI" w:hAnsi="Segoe UI" w:cs="Segoe UI"/>
                      <w:sz w:val="20"/>
                      <w:szCs w:val="20"/>
                    </w:rPr>
                    <w:t>2</w:t>
                  </w:r>
                  <w:r w:rsidR="00FA0B01">
                    <w:rPr>
                      <w:rFonts w:ascii="Segoe UI" w:hAnsi="Segoe UI" w:cs="Segoe UI"/>
                      <w:sz w:val="20"/>
                      <w:szCs w:val="20"/>
                    </w:rPr>
                    <w:t>.</w:t>
                  </w:r>
                  <w:r w:rsidRPr="0021685B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A8C82B4" w14:textId="77777777" w:rsidR="00866E32" w:rsidRPr="0021685B" w:rsidRDefault="00866E32" w:rsidP="00794AF8">
            <w:pPr>
              <w:pStyle w:val="1bodycopy10pt"/>
              <w:spacing w:after="0"/>
              <w:rPr>
                <w:rFonts w:ascii="Segoe UI" w:hAnsi="Segoe UI" w:cs="Segoe UI"/>
                <w:szCs w:val="20"/>
                <w:lang w:val="en-GB"/>
              </w:rPr>
            </w:pPr>
          </w:p>
        </w:tc>
      </w:tr>
      <w:tr w:rsidR="00866E32" w14:paraId="66B41B37" w14:textId="77777777" w:rsidTr="00F36998">
        <w:tc>
          <w:tcPr>
            <w:tcW w:w="10456" w:type="dxa"/>
            <w:gridSpan w:val="2"/>
            <w:shd w:val="clear" w:color="auto" w:fill="A6A6A6" w:themeFill="background1" w:themeFillShade="A6"/>
          </w:tcPr>
          <w:p w14:paraId="000F5171" w14:textId="083CCDDB" w:rsidR="00866E32" w:rsidRPr="0021685B" w:rsidRDefault="00134F3B" w:rsidP="008E6A3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Examination </w:t>
            </w:r>
            <w:r w:rsidR="00D826E5">
              <w:rPr>
                <w:rFonts w:ascii="Segoe UI" w:hAnsi="Segoe UI" w:cs="Segoe UI"/>
                <w:b/>
                <w:sz w:val="24"/>
                <w:szCs w:val="24"/>
              </w:rPr>
              <w:t xml:space="preserve">Escalation and 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Contingency Policy</w:t>
            </w:r>
          </w:p>
        </w:tc>
      </w:tr>
      <w:tr w:rsidR="00866E32" w14:paraId="3806D294" w14:textId="77777777" w:rsidTr="004D0BAB">
        <w:tc>
          <w:tcPr>
            <w:tcW w:w="1045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71"/>
            </w:tblGrid>
            <w:tr w:rsidR="001F354C" w:rsidRPr="001F354C" w14:paraId="544CFD73" w14:textId="77777777">
              <w:trPr>
                <w:trHeight w:val="101"/>
              </w:trPr>
              <w:tc>
                <w:tcPr>
                  <w:tcW w:w="0" w:type="auto"/>
                </w:tcPr>
                <w:p w14:paraId="2684EB8B" w14:textId="77777777" w:rsidR="001F354C" w:rsidRPr="001F354C" w:rsidRDefault="001F354C" w:rsidP="001F35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1F354C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 Examination contingency plan (which covers all aspects of exam administration) </w:t>
                  </w:r>
                </w:p>
              </w:tc>
            </w:tr>
          </w:tbl>
          <w:p w14:paraId="28A40955" w14:textId="77777777" w:rsidR="00866E32" w:rsidRPr="0021685B" w:rsidRDefault="00866E32" w:rsidP="008E6A37">
            <w:pPr>
              <w:pStyle w:val="1bodycopy10pt"/>
              <w:spacing w:after="0"/>
              <w:rPr>
                <w:rFonts w:ascii="Segoe UI" w:hAnsi="Segoe UI" w:cs="Segoe UI"/>
                <w:szCs w:val="20"/>
                <w:lang w:val="en-GB"/>
              </w:rPr>
            </w:pPr>
          </w:p>
        </w:tc>
      </w:tr>
      <w:tr w:rsidR="00866E32" w14:paraId="5C2771AE" w14:textId="77777777" w:rsidTr="00F36998">
        <w:tc>
          <w:tcPr>
            <w:tcW w:w="10456" w:type="dxa"/>
            <w:gridSpan w:val="2"/>
            <w:shd w:val="clear" w:color="auto" w:fill="A6A6A6" w:themeFill="background1" w:themeFillShade="A6"/>
          </w:tcPr>
          <w:p w14:paraId="78C9434A" w14:textId="77777777" w:rsidR="00866E32" w:rsidRPr="000617F2" w:rsidRDefault="001B0E42" w:rsidP="008E6A3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Examination Entry Policy</w:t>
            </w:r>
          </w:p>
        </w:tc>
      </w:tr>
      <w:tr w:rsidR="00866E32" w14:paraId="0FC644B7" w14:textId="77777777" w:rsidTr="004D0BAB">
        <w:tc>
          <w:tcPr>
            <w:tcW w:w="10456" w:type="dxa"/>
            <w:gridSpan w:val="2"/>
          </w:tcPr>
          <w:p w14:paraId="70410D87" w14:textId="77777777" w:rsidR="001F354C" w:rsidRPr="001F354C" w:rsidRDefault="0021685B" w:rsidP="001F354C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21685B">
              <w:rPr>
                <w:rFonts w:ascii="Segoe UI" w:hAnsi="Segoe UI" w:cs="Segoe UI"/>
                <w:color w:val="000000"/>
                <w:sz w:val="20"/>
                <w:szCs w:val="20"/>
              </w:rPr>
              <w:t>Exam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ination Entry Policy which covers the main aspects of exam administration, roles and responsibilities</w:t>
            </w:r>
          </w:p>
          <w:p w14:paraId="0AB0F4C6" w14:textId="77777777" w:rsidR="00866E32" w:rsidRPr="00262A2C" w:rsidRDefault="001B0E42" w:rsidP="001B0E42">
            <w:pPr>
              <w:pStyle w:val="4Bulletedcopyblue"/>
              <w:numPr>
                <w:ilvl w:val="0"/>
                <w:numId w:val="23"/>
              </w:numPr>
              <w:spacing w:after="0"/>
              <w:rPr>
                <w:rFonts w:ascii="Segoe UI" w:hAnsi="Segoe UI" w:cs="Segoe UI"/>
                <w:lang w:val="en-GB"/>
              </w:rPr>
            </w:pPr>
            <w:r w:rsidRPr="00262A2C">
              <w:rPr>
                <w:rFonts w:ascii="Segoe UI" w:hAnsi="Segoe UI" w:cs="Segoe UI"/>
              </w:rPr>
              <w:t>Introduction and Aims</w:t>
            </w:r>
          </w:p>
          <w:p w14:paraId="41AB05CE" w14:textId="77777777" w:rsidR="001B0E42" w:rsidRPr="00262A2C" w:rsidRDefault="001B0E42" w:rsidP="001B0E42">
            <w:pPr>
              <w:pStyle w:val="4Bulletedcopyblue"/>
              <w:numPr>
                <w:ilvl w:val="0"/>
                <w:numId w:val="23"/>
              </w:numPr>
              <w:spacing w:after="0"/>
              <w:rPr>
                <w:rFonts w:ascii="Segoe UI" w:hAnsi="Segoe UI" w:cs="Segoe UI"/>
                <w:lang w:val="en-GB"/>
              </w:rPr>
            </w:pPr>
            <w:r w:rsidRPr="00262A2C">
              <w:rPr>
                <w:rFonts w:ascii="Segoe UI" w:hAnsi="Segoe UI" w:cs="Segoe UI"/>
              </w:rPr>
              <w:t>Roles and Responsibilities</w:t>
            </w:r>
          </w:p>
          <w:p w14:paraId="590A7A50" w14:textId="77777777" w:rsidR="001B0E42" w:rsidRPr="00262A2C" w:rsidRDefault="001B0E42" w:rsidP="001B0E42">
            <w:pPr>
              <w:pStyle w:val="4Bulletedcopyblue"/>
              <w:numPr>
                <w:ilvl w:val="0"/>
                <w:numId w:val="23"/>
              </w:numPr>
              <w:spacing w:after="0"/>
              <w:rPr>
                <w:rFonts w:ascii="Segoe UI" w:hAnsi="Segoe UI" w:cs="Segoe UI"/>
                <w:lang w:val="en-GB"/>
              </w:rPr>
            </w:pPr>
            <w:r w:rsidRPr="00262A2C">
              <w:rPr>
                <w:rFonts w:ascii="Segoe UI" w:hAnsi="Segoe UI" w:cs="Segoe UI"/>
              </w:rPr>
              <w:t>Qualifications Offered</w:t>
            </w:r>
          </w:p>
          <w:p w14:paraId="02033E09" w14:textId="77777777" w:rsidR="001B0E42" w:rsidRPr="00262A2C" w:rsidRDefault="001B0E42" w:rsidP="001B0E42">
            <w:pPr>
              <w:pStyle w:val="4Bulletedcopyblue"/>
              <w:numPr>
                <w:ilvl w:val="0"/>
                <w:numId w:val="23"/>
              </w:numPr>
              <w:spacing w:after="0"/>
              <w:rPr>
                <w:rFonts w:ascii="Segoe UI" w:hAnsi="Segoe UI" w:cs="Segoe UI"/>
                <w:lang w:val="en-GB"/>
              </w:rPr>
            </w:pPr>
            <w:r w:rsidRPr="00262A2C">
              <w:rPr>
                <w:rFonts w:ascii="Segoe UI" w:hAnsi="Segoe UI" w:cs="Segoe UI"/>
              </w:rPr>
              <w:t>Exam Series</w:t>
            </w:r>
          </w:p>
          <w:p w14:paraId="516F931F" w14:textId="77777777" w:rsidR="001B0E42" w:rsidRPr="00262A2C" w:rsidRDefault="001B0E42" w:rsidP="001B0E42">
            <w:pPr>
              <w:pStyle w:val="4Bulletedcopyblue"/>
              <w:numPr>
                <w:ilvl w:val="0"/>
                <w:numId w:val="23"/>
              </w:numPr>
              <w:spacing w:after="0"/>
              <w:rPr>
                <w:rFonts w:ascii="Segoe UI" w:hAnsi="Segoe UI" w:cs="Segoe UI"/>
                <w:lang w:val="en-GB"/>
              </w:rPr>
            </w:pPr>
            <w:r w:rsidRPr="00262A2C">
              <w:rPr>
                <w:rFonts w:ascii="Segoe UI" w:hAnsi="Segoe UI" w:cs="Segoe UI"/>
              </w:rPr>
              <w:t>Exam Timetables</w:t>
            </w:r>
          </w:p>
          <w:p w14:paraId="406BDA6A" w14:textId="77777777" w:rsidR="001B0E42" w:rsidRPr="00262A2C" w:rsidRDefault="001B0E42" w:rsidP="001B0E42">
            <w:pPr>
              <w:pStyle w:val="4Bulletedcopyblue"/>
              <w:numPr>
                <w:ilvl w:val="0"/>
                <w:numId w:val="23"/>
              </w:numPr>
              <w:spacing w:after="0"/>
              <w:rPr>
                <w:rFonts w:ascii="Segoe UI" w:hAnsi="Segoe UI" w:cs="Segoe UI"/>
                <w:lang w:val="en-GB"/>
              </w:rPr>
            </w:pPr>
            <w:r w:rsidRPr="00262A2C">
              <w:rPr>
                <w:rFonts w:ascii="Segoe UI" w:hAnsi="Segoe UI" w:cs="Segoe UI"/>
              </w:rPr>
              <w:t>Entries (including entry details and late entries)</w:t>
            </w:r>
          </w:p>
          <w:p w14:paraId="04A6F04D" w14:textId="77777777" w:rsidR="001B0E42" w:rsidRPr="00262A2C" w:rsidRDefault="001B0E42" w:rsidP="001B0E42">
            <w:pPr>
              <w:pStyle w:val="4Bulletedcopyblue"/>
              <w:numPr>
                <w:ilvl w:val="0"/>
                <w:numId w:val="23"/>
              </w:numPr>
              <w:spacing w:after="0"/>
              <w:rPr>
                <w:rFonts w:ascii="Segoe UI" w:hAnsi="Segoe UI" w:cs="Segoe UI"/>
                <w:lang w:val="en-GB"/>
              </w:rPr>
            </w:pPr>
            <w:r w:rsidRPr="00262A2C">
              <w:rPr>
                <w:rFonts w:ascii="Segoe UI" w:hAnsi="Segoe UI" w:cs="Segoe UI"/>
              </w:rPr>
              <w:t>Exam Fees</w:t>
            </w:r>
          </w:p>
          <w:p w14:paraId="135D5AA5" w14:textId="77777777" w:rsidR="001B0E42" w:rsidRPr="00262A2C" w:rsidRDefault="001B0E42" w:rsidP="001B0E42">
            <w:pPr>
              <w:pStyle w:val="4Bulletedcopyblue"/>
              <w:numPr>
                <w:ilvl w:val="0"/>
                <w:numId w:val="23"/>
              </w:numPr>
              <w:spacing w:after="0"/>
              <w:rPr>
                <w:rFonts w:ascii="Segoe UI" w:hAnsi="Segoe UI" w:cs="Segoe UI"/>
                <w:lang w:val="en-GB"/>
              </w:rPr>
            </w:pPr>
            <w:r w:rsidRPr="00262A2C">
              <w:rPr>
                <w:rFonts w:ascii="Segoe UI" w:hAnsi="Segoe UI" w:cs="Segoe UI"/>
              </w:rPr>
              <w:t>Equalities</w:t>
            </w:r>
          </w:p>
          <w:p w14:paraId="7F6B26E8" w14:textId="77777777" w:rsidR="001B0E42" w:rsidRPr="00262A2C" w:rsidRDefault="001B0E42" w:rsidP="001B0E42">
            <w:pPr>
              <w:pStyle w:val="4Bulletedcopyblue"/>
              <w:numPr>
                <w:ilvl w:val="0"/>
                <w:numId w:val="23"/>
              </w:numPr>
              <w:spacing w:after="0"/>
              <w:rPr>
                <w:rFonts w:ascii="Segoe UI" w:hAnsi="Segoe UI" w:cs="Segoe UI"/>
                <w:lang w:val="en-GB"/>
              </w:rPr>
            </w:pPr>
            <w:r w:rsidRPr="00262A2C">
              <w:rPr>
                <w:rFonts w:ascii="Segoe UI" w:hAnsi="Segoe UI" w:cs="Segoe UI"/>
              </w:rPr>
              <w:t>Access Arrangements</w:t>
            </w:r>
          </w:p>
          <w:p w14:paraId="4CC0909C" w14:textId="77777777" w:rsidR="001B0E42" w:rsidRPr="00262A2C" w:rsidRDefault="001B0E42" w:rsidP="001B0E42">
            <w:pPr>
              <w:pStyle w:val="4Bulletedcopyblue"/>
              <w:numPr>
                <w:ilvl w:val="0"/>
                <w:numId w:val="23"/>
              </w:numPr>
              <w:spacing w:after="0"/>
              <w:rPr>
                <w:rFonts w:ascii="Segoe UI" w:hAnsi="Segoe UI" w:cs="Segoe UI"/>
                <w:lang w:val="en-GB"/>
              </w:rPr>
            </w:pPr>
            <w:r w:rsidRPr="00262A2C">
              <w:rPr>
                <w:rFonts w:ascii="Segoe UI" w:hAnsi="Segoe UI" w:cs="Segoe UI"/>
              </w:rPr>
              <w:t>Contingency Planning</w:t>
            </w:r>
          </w:p>
          <w:p w14:paraId="1278941B" w14:textId="77777777" w:rsidR="001B0E42" w:rsidRPr="00262A2C" w:rsidRDefault="001B0E42" w:rsidP="001B0E42">
            <w:pPr>
              <w:pStyle w:val="4Bulletedcopyblue"/>
              <w:numPr>
                <w:ilvl w:val="0"/>
                <w:numId w:val="23"/>
              </w:numPr>
              <w:spacing w:after="0"/>
              <w:rPr>
                <w:rFonts w:ascii="Segoe UI" w:hAnsi="Segoe UI" w:cs="Segoe UI"/>
                <w:lang w:val="en-GB"/>
              </w:rPr>
            </w:pPr>
            <w:r w:rsidRPr="00262A2C">
              <w:rPr>
                <w:rFonts w:ascii="Segoe UI" w:hAnsi="Segoe UI" w:cs="Segoe UI"/>
              </w:rPr>
              <w:t>Estimated Grades</w:t>
            </w:r>
          </w:p>
          <w:p w14:paraId="36D684B5" w14:textId="77777777" w:rsidR="001B0E42" w:rsidRPr="00262A2C" w:rsidRDefault="001B0E42" w:rsidP="001B0E42">
            <w:pPr>
              <w:pStyle w:val="4Bulletedcopyblue"/>
              <w:numPr>
                <w:ilvl w:val="0"/>
                <w:numId w:val="23"/>
              </w:numPr>
              <w:spacing w:after="0"/>
              <w:rPr>
                <w:rFonts w:ascii="Segoe UI" w:hAnsi="Segoe UI" w:cs="Segoe UI"/>
                <w:lang w:val="en-GB"/>
              </w:rPr>
            </w:pPr>
            <w:r w:rsidRPr="00262A2C">
              <w:rPr>
                <w:rFonts w:ascii="Segoe UI" w:hAnsi="Segoe UI" w:cs="Segoe UI"/>
              </w:rPr>
              <w:t>Managing Invigilators</w:t>
            </w:r>
          </w:p>
          <w:p w14:paraId="5EADF6BC" w14:textId="77777777" w:rsidR="001B0E42" w:rsidRPr="00262A2C" w:rsidRDefault="001B0E42" w:rsidP="001B0E42">
            <w:pPr>
              <w:pStyle w:val="4Bulletedcopyblue"/>
              <w:numPr>
                <w:ilvl w:val="0"/>
                <w:numId w:val="23"/>
              </w:numPr>
              <w:spacing w:after="0"/>
              <w:rPr>
                <w:rFonts w:ascii="Segoe UI" w:hAnsi="Segoe UI" w:cs="Segoe UI"/>
                <w:lang w:val="en-GB"/>
              </w:rPr>
            </w:pPr>
            <w:r w:rsidRPr="00262A2C">
              <w:rPr>
                <w:rFonts w:ascii="Segoe UI" w:hAnsi="Segoe UI" w:cs="Segoe UI"/>
              </w:rPr>
              <w:t>Malpractice</w:t>
            </w:r>
          </w:p>
          <w:p w14:paraId="52DF621D" w14:textId="77777777" w:rsidR="001B0E42" w:rsidRPr="00262A2C" w:rsidRDefault="001B0E42" w:rsidP="001B0E42">
            <w:pPr>
              <w:pStyle w:val="4Bulletedcopyblue"/>
              <w:numPr>
                <w:ilvl w:val="0"/>
                <w:numId w:val="23"/>
              </w:numPr>
              <w:spacing w:after="0"/>
              <w:rPr>
                <w:rFonts w:ascii="Segoe UI" w:hAnsi="Segoe UI" w:cs="Segoe UI"/>
                <w:lang w:val="en-GB"/>
              </w:rPr>
            </w:pPr>
            <w:r w:rsidRPr="00262A2C">
              <w:rPr>
                <w:rFonts w:ascii="Segoe UI" w:hAnsi="Segoe UI" w:cs="Segoe UI"/>
              </w:rPr>
              <w:t>Exam Days</w:t>
            </w:r>
            <w:r w:rsidR="00134F3B" w:rsidRPr="00262A2C">
              <w:rPr>
                <w:rFonts w:ascii="Segoe UI" w:hAnsi="Segoe UI" w:cs="Segoe UI"/>
              </w:rPr>
              <w:t xml:space="preserve"> – including </w:t>
            </w:r>
            <w:r w:rsidR="00134F3B" w:rsidRPr="00262A2C">
              <w:rPr>
                <w:rFonts w:ascii="Segoe UI" w:hAnsi="Segoe UI" w:cs="Segoe UI"/>
                <w:lang w:val="en-GB"/>
              </w:rPr>
              <w:t>procedures to verify the identity of all candidates</w:t>
            </w:r>
          </w:p>
          <w:p w14:paraId="5EC3C7E0" w14:textId="77777777" w:rsidR="001B0E42" w:rsidRPr="00262A2C" w:rsidRDefault="001B0E42" w:rsidP="001B0E42">
            <w:pPr>
              <w:pStyle w:val="4Bulletedcopyblue"/>
              <w:numPr>
                <w:ilvl w:val="0"/>
                <w:numId w:val="23"/>
              </w:numPr>
              <w:spacing w:after="0"/>
              <w:rPr>
                <w:rFonts w:ascii="Segoe UI" w:hAnsi="Segoe UI" w:cs="Segoe UI"/>
                <w:lang w:val="en-GB"/>
              </w:rPr>
            </w:pPr>
            <w:r w:rsidRPr="00262A2C">
              <w:rPr>
                <w:rFonts w:ascii="Segoe UI" w:hAnsi="Segoe UI" w:cs="Segoe UI"/>
              </w:rPr>
              <w:t>Candidates</w:t>
            </w:r>
          </w:p>
          <w:p w14:paraId="17D7D84F" w14:textId="77777777" w:rsidR="001B0E42" w:rsidRPr="00262A2C" w:rsidRDefault="001B0E42" w:rsidP="001B0E42">
            <w:pPr>
              <w:pStyle w:val="4Bulletedcopyblue"/>
              <w:numPr>
                <w:ilvl w:val="0"/>
                <w:numId w:val="23"/>
              </w:numPr>
              <w:spacing w:after="0"/>
              <w:rPr>
                <w:rFonts w:ascii="Segoe UI" w:hAnsi="Segoe UI" w:cs="Segoe UI"/>
                <w:lang w:val="en-GB"/>
              </w:rPr>
            </w:pPr>
            <w:r w:rsidRPr="00262A2C">
              <w:rPr>
                <w:rFonts w:ascii="Segoe UI" w:hAnsi="Segoe UI" w:cs="Segoe UI"/>
              </w:rPr>
              <w:t>Special Consideration</w:t>
            </w:r>
          </w:p>
          <w:p w14:paraId="4E9212CF" w14:textId="77777777" w:rsidR="001B0E42" w:rsidRPr="00262A2C" w:rsidRDefault="001B0E42" w:rsidP="001B0E42">
            <w:pPr>
              <w:pStyle w:val="4Bulletedcopyblue"/>
              <w:numPr>
                <w:ilvl w:val="0"/>
                <w:numId w:val="23"/>
              </w:numPr>
              <w:spacing w:after="0"/>
              <w:rPr>
                <w:rFonts w:ascii="Segoe UI" w:hAnsi="Segoe UI" w:cs="Segoe UI"/>
                <w:lang w:val="en-GB"/>
              </w:rPr>
            </w:pPr>
            <w:r w:rsidRPr="00262A2C">
              <w:rPr>
                <w:rFonts w:ascii="Segoe UI" w:hAnsi="Segoe UI" w:cs="Segoe UI"/>
              </w:rPr>
              <w:t>Dispatch of Scripts</w:t>
            </w:r>
          </w:p>
          <w:p w14:paraId="54E86D4F" w14:textId="77777777" w:rsidR="001B0E42" w:rsidRPr="00262A2C" w:rsidRDefault="001B0E42" w:rsidP="001B0E42">
            <w:pPr>
              <w:pStyle w:val="4Bulletedcopyblue"/>
              <w:numPr>
                <w:ilvl w:val="0"/>
                <w:numId w:val="23"/>
              </w:numPr>
              <w:spacing w:after="0"/>
              <w:rPr>
                <w:rFonts w:ascii="Segoe UI" w:hAnsi="Segoe UI" w:cs="Segoe UI"/>
                <w:lang w:val="en-GB"/>
              </w:rPr>
            </w:pPr>
            <w:r w:rsidRPr="00262A2C">
              <w:rPr>
                <w:rFonts w:ascii="Segoe UI" w:hAnsi="Segoe UI" w:cs="Segoe UI"/>
              </w:rPr>
              <w:t>Results and Certificates</w:t>
            </w:r>
          </w:p>
          <w:p w14:paraId="73B64EEE" w14:textId="77777777" w:rsidR="00B33C3B" w:rsidRPr="00262A2C" w:rsidRDefault="00B33C3B" w:rsidP="00B33C3B">
            <w:pPr>
              <w:pStyle w:val="ListParagraph"/>
              <w:numPr>
                <w:ilvl w:val="1"/>
                <w:numId w:val="23"/>
              </w:numPr>
              <w:rPr>
                <w:rFonts w:ascii="Segoe UI" w:eastAsia="MS Mincho" w:hAnsi="Segoe UI" w:cs="Segoe UI"/>
                <w:sz w:val="20"/>
                <w:szCs w:val="20"/>
              </w:rPr>
            </w:pPr>
            <w:r w:rsidRPr="00262A2C">
              <w:rPr>
                <w:rFonts w:ascii="Segoe UI" w:eastAsia="MS Mincho" w:hAnsi="Segoe UI" w:cs="Segoe UI"/>
                <w:sz w:val="20"/>
                <w:szCs w:val="20"/>
              </w:rPr>
              <w:t>18.1     Enquiries about results (EARs)</w:t>
            </w:r>
          </w:p>
          <w:p w14:paraId="33FEFB7F" w14:textId="77777777" w:rsidR="00B33C3B" w:rsidRPr="00262A2C" w:rsidRDefault="00B33C3B" w:rsidP="00B33C3B">
            <w:pPr>
              <w:pStyle w:val="ListParagraph"/>
              <w:numPr>
                <w:ilvl w:val="1"/>
                <w:numId w:val="23"/>
              </w:numPr>
              <w:rPr>
                <w:rFonts w:ascii="Segoe UI" w:eastAsia="MS Mincho" w:hAnsi="Segoe UI" w:cs="Segoe UI"/>
                <w:sz w:val="20"/>
                <w:szCs w:val="20"/>
              </w:rPr>
            </w:pPr>
            <w:r w:rsidRPr="00262A2C">
              <w:rPr>
                <w:rFonts w:ascii="Segoe UI" w:eastAsia="MS Mincho" w:hAnsi="Segoe UI" w:cs="Segoe UI"/>
                <w:sz w:val="20"/>
                <w:szCs w:val="20"/>
              </w:rPr>
              <w:t>18.2       Access to Scripts (ATS)</w:t>
            </w:r>
          </w:p>
          <w:p w14:paraId="5802F480" w14:textId="77777777" w:rsidR="00B33C3B" w:rsidRPr="00262A2C" w:rsidRDefault="00B33C3B" w:rsidP="00B33C3B">
            <w:pPr>
              <w:pStyle w:val="4Bulletedcopyblue"/>
              <w:numPr>
                <w:ilvl w:val="1"/>
                <w:numId w:val="23"/>
              </w:numPr>
              <w:spacing w:after="0"/>
              <w:rPr>
                <w:rFonts w:ascii="Segoe UI" w:hAnsi="Segoe UI" w:cs="Segoe UI"/>
                <w:lang w:val="en-GB"/>
              </w:rPr>
            </w:pPr>
            <w:r w:rsidRPr="00262A2C">
              <w:rPr>
                <w:rFonts w:ascii="Segoe UI" w:hAnsi="Segoe UI" w:cs="Segoe UI"/>
                <w:lang w:val="en-GB"/>
              </w:rPr>
              <w:t>18.3</w:t>
            </w:r>
            <w:r w:rsidRPr="00262A2C">
              <w:rPr>
                <w:rFonts w:ascii="Segoe UI" w:hAnsi="Segoe UI" w:cs="Segoe UI"/>
                <w:lang w:val="en-GB"/>
              </w:rPr>
              <w:tab/>
              <w:t>Certificates</w:t>
            </w:r>
          </w:p>
          <w:p w14:paraId="046AC9A4" w14:textId="77777777" w:rsidR="0021685B" w:rsidRPr="0021685B" w:rsidRDefault="0021685B" w:rsidP="001B0E42">
            <w:pPr>
              <w:pStyle w:val="4Bulletedcopyblue"/>
              <w:numPr>
                <w:ilvl w:val="0"/>
                <w:numId w:val="23"/>
              </w:numPr>
              <w:spacing w:after="0"/>
              <w:rPr>
                <w:rFonts w:ascii="Segoe UI" w:hAnsi="Segoe UI" w:cs="Segoe UI"/>
                <w:lang w:val="en-GB"/>
              </w:rPr>
            </w:pPr>
            <w:r w:rsidRPr="00262A2C">
              <w:rPr>
                <w:rFonts w:ascii="Segoe UI" w:hAnsi="Segoe UI" w:cs="Segoe UI"/>
              </w:rPr>
              <w:t>Monitoring and Review</w:t>
            </w:r>
          </w:p>
        </w:tc>
      </w:tr>
      <w:tr w:rsidR="000617F2" w14:paraId="6C2A1094" w14:textId="77777777" w:rsidTr="00F36998">
        <w:tc>
          <w:tcPr>
            <w:tcW w:w="10456" w:type="dxa"/>
            <w:gridSpan w:val="2"/>
            <w:shd w:val="clear" w:color="auto" w:fill="A6A6A6" w:themeFill="background1" w:themeFillShade="A6"/>
          </w:tcPr>
          <w:p w14:paraId="4446D36F" w14:textId="77777777" w:rsidR="000617F2" w:rsidRPr="00F702DF" w:rsidRDefault="00590871" w:rsidP="008E6A3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proofErr w:type="gramStart"/>
            <w:r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Non Examination</w:t>
            </w:r>
            <w:proofErr w:type="gramEnd"/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Assessment Policy</w:t>
            </w:r>
          </w:p>
        </w:tc>
      </w:tr>
      <w:tr w:rsidR="000617F2" w14:paraId="18FF961E" w14:textId="77777777" w:rsidTr="004D0BAB">
        <w:tc>
          <w:tcPr>
            <w:tcW w:w="10456" w:type="dxa"/>
            <w:gridSpan w:val="2"/>
          </w:tcPr>
          <w:p w14:paraId="6273240D" w14:textId="77777777" w:rsidR="004E19BE" w:rsidRDefault="00F34006" w:rsidP="00134F3B">
            <w:pPr>
              <w:rPr>
                <w:rFonts w:ascii="Segoe UI" w:hAnsi="Segoe UI" w:cs="Segoe UI"/>
                <w:sz w:val="20"/>
                <w:szCs w:val="20"/>
              </w:rPr>
            </w:pPr>
            <w:r w:rsidRPr="00F34006">
              <w:rPr>
                <w:rFonts w:ascii="Segoe UI" w:hAnsi="Segoe UI" w:cs="Segoe UI"/>
                <w:sz w:val="20"/>
                <w:szCs w:val="20"/>
              </w:rPr>
              <w:t xml:space="preserve"> Management of GCSE non-examination assessments policy </w:t>
            </w:r>
          </w:p>
          <w:p w14:paraId="24CAF401" w14:textId="0138286A" w:rsidR="00A42361" w:rsidRPr="004E19BE" w:rsidRDefault="00A42361" w:rsidP="00134F3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617F2" w14:paraId="3DDD1A42" w14:textId="77777777" w:rsidTr="00F36998">
        <w:tc>
          <w:tcPr>
            <w:tcW w:w="10456" w:type="dxa"/>
            <w:gridSpan w:val="2"/>
            <w:shd w:val="clear" w:color="auto" w:fill="A6A6A6" w:themeFill="background1" w:themeFillShade="A6"/>
          </w:tcPr>
          <w:p w14:paraId="202EC8E1" w14:textId="77777777" w:rsidR="000617F2" w:rsidRPr="004E19BE" w:rsidRDefault="00590871" w:rsidP="008E6A3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Examinations Emergency Evacuation Policy</w:t>
            </w:r>
          </w:p>
        </w:tc>
      </w:tr>
      <w:tr w:rsidR="000617F2" w14:paraId="204238B1" w14:textId="77777777" w:rsidTr="004D0BAB">
        <w:tc>
          <w:tcPr>
            <w:tcW w:w="1045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23"/>
            </w:tblGrid>
            <w:tr w:rsidR="001B0E42" w:rsidRPr="001B0E42" w14:paraId="067C1FC9" w14:textId="77777777">
              <w:trPr>
                <w:trHeight w:val="101"/>
              </w:trPr>
              <w:tc>
                <w:tcPr>
                  <w:tcW w:w="0" w:type="auto"/>
                </w:tcPr>
                <w:p w14:paraId="66452A7E" w14:textId="77777777" w:rsidR="001B0E42" w:rsidRPr="001B0E42" w:rsidRDefault="001B0E42" w:rsidP="001B0E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1B0E42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Policy for dealing with an emergency evacuation of the examination room </w:t>
                  </w:r>
                </w:p>
              </w:tc>
            </w:tr>
            <w:tr w:rsidR="00D550FE" w:rsidRPr="001B0E42" w14:paraId="1911B421" w14:textId="77777777">
              <w:trPr>
                <w:trHeight w:val="101"/>
              </w:trPr>
              <w:tc>
                <w:tcPr>
                  <w:tcW w:w="0" w:type="auto"/>
                </w:tcPr>
                <w:p w14:paraId="62DC06BC" w14:textId="77777777" w:rsidR="00D550FE" w:rsidRDefault="00D550FE" w:rsidP="00D550FE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Policy document</w:t>
                  </w:r>
                </w:p>
                <w:p w14:paraId="28C16A78" w14:textId="77777777" w:rsidR="00D550FE" w:rsidRDefault="00D550FE" w:rsidP="00D550FE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Prompt Sheet and Notice of Evacuation</w:t>
                  </w:r>
                </w:p>
                <w:p w14:paraId="2DFB344A" w14:textId="07AA3BB6" w:rsidR="00A42361" w:rsidRPr="00A42361" w:rsidRDefault="00A42361" w:rsidP="00A423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7382722" w14:textId="77777777" w:rsidR="000617F2" w:rsidRPr="00134F3B" w:rsidRDefault="000617F2" w:rsidP="008E6A37">
            <w:pPr>
              <w:pStyle w:val="1bodycopy10pt"/>
              <w:spacing w:after="0"/>
              <w:rPr>
                <w:rFonts w:ascii="Segoe UI" w:hAnsi="Segoe UI" w:cs="Segoe UI"/>
                <w:szCs w:val="20"/>
                <w:lang w:val="en-GB"/>
              </w:rPr>
            </w:pPr>
          </w:p>
        </w:tc>
      </w:tr>
      <w:tr w:rsidR="000617F2" w14:paraId="4CCB7338" w14:textId="77777777" w:rsidTr="00F36998">
        <w:tc>
          <w:tcPr>
            <w:tcW w:w="10456" w:type="dxa"/>
            <w:gridSpan w:val="2"/>
            <w:shd w:val="clear" w:color="auto" w:fill="A6A6A6" w:themeFill="background1" w:themeFillShade="A6"/>
          </w:tcPr>
          <w:p w14:paraId="2785A303" w14:textId="77777777" w:rsidR="000617F2" w:rsidRPr="004E19BE" w:rsidRDefault="00590871" w:rsidP="008E6A3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Word Processor Policy</w:t>
            </w:r>
          </w:p>
        </w:tc>
      </w:tr>
      <w:tr w:rsidR="000617F2" w14:paraId="73579834" w14:textId="77777777" w:rsidTr="004D0BAB">
        <w:tc>
          <w:tcPr>
            <w:tcW w:w="1045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75"/>
            </w:tblGrid>
            <w:tr w:rsidR="001B0E42" w:rsidRPr="001B0E42" w14:paraId="5AE8E208" w14:textId="77777777">
              <w:trPr>
                <w:trHeight w:val="426"/>
              </w:trPr>
              <w:tc>
                <w:tcPr>
                  <w:tcW w:w="0" w:type="auto"/>
                </w:tcPr>
                <w:p w14:paraId="34100FF9" w14:textId="77777777" w:rsidR="001B0E42" w:rsidRPr="001B0E42" w:rsidRDefault="001B0E42" w:rsidP="001B0E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1B0E42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Policy on the use of word processors  </w:t>
                  </w:r>
                </w:p>
                <w:p w14:paraId="67419B1F" w14:textId="77777777" w:rsidR="001B0E42" w:rsidRPr="001B0E42" w:rsidRDefault="001B0E42" w:rsidP="00134F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1B0E42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A statement detailing the criteria the centre uses to award and allocate word processors for examinations </w:t>
                  </w:r>
                </w:p>
              </w:tc>
            </w:tr>
            <w:tr w:rsidR="00A42361" w:rsidRPr="001B0E42" w14:paraId="600FD344" w14:textId="77777777">
              <w:trPr>
                <w:trHeight w:val="426"/>
              </w:trPr>
              <w:tc>
                <w:tcPr>
                  <w:tcW w:w="0" w:type="auto"/>
                </w:tcPr>
                <w:p w14:paraId="22D853B4" w14:textId="77777777" w:rsidR="00A42361" w:rsidRPr="001B0E42" w:rsidRDefault="00A42361" w:rsidP="001B0E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3342AB8" w14:textId="77777777" w:rsidR="000617F2" w:rsidRPr="00134F3B" w:rsidRDefault="000617F2" w:rsidP="008E6A37">
            <w:pPr>
              <w:pStyle w:val="1bodycopy10pt"/>
              <w:spacing w:after="0"/>
              <w:rPr>
                <w:rFonts w:ascii="Segoe UI" w:hAnsi="Segoe UI" w:cs="Segoe UI"/>
                <w:szCs w:val="20"/>
                <w:lang w:val="en-GB"/>
              </w:rPr>
            </w:pPr>
          </w:p>
        </w:tc>
      </w:tr>
      <w:tr w:rsidR="000617F2" w14:paraId="26B0D03B" w14:textId="77777777" w:rsidTr="00F36998">
        <w:tc>
          <w:tcPr>
            <w:tcW w:w="10456" w:type="dxa"/>
            <w:gridSpan w:val="2"/>
            <w:shd w:val="clear" w:color="auto" w:fill="A6A6A6" w:themeFill="background1" w:themeFillShade="A6"/>
          </w:tcPr>
          <w:p w14:paraId="0276E80C" w14:textId="77777777" w:rsidR="000617F2" w:rsidRPr="004E19BE" w:rsidRDefault="00590871" w:rsidP="00D93D6B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Complaints and Appeals</w:t>
            </w:r>
          </w:p>
        </w:tc>
      </w:tr>
      <w:tr w:rsidR="004E19BE" w14:paraId="719DC42B" w14:textId="77777777" w:rsidTr="004D0BAB">
        <w:tc>
          <w:tcPr>
            <w:tcW w:w="1045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92"/>
            </w:tblGrid>
            <w:tr w:rsidR="001B0E42" w:rsidRPr="001B0E42" w14:paraId="3FA2DCA8" w14:textId="77777777">
              <w:trPr>
                <w:trHeight w:val="101"/>
              </w:trPr>
              <w:tc>
                <w:tcPr>
                  <w:tcW w:w="0" w:type="auto"/>
                </w:tcPr>
                <w:p w14:paraId="68311FEE" w14:textId="77777777" w:rsidR="001B0E42" w:rsidRPr="001B0E42" w:rsidRDefault="001B0E42" w:rsidP="001B0E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1B0E42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Complaints and appeals procedure </w:t>
                  </w:r>
                </w:p>
              </w:tc>
            </w:tr>
            <w:tr w:rsidR="00A42361" w:rsidRPr="001B0E42" w14:paraId="4290DFB5" w14:textId="77777777">
              <w:trPr>
                <w:trHeight w:val="101"/>
              </w:trPr>
              <w:tc>
                <w:tcPr>
                  <w:tcW w:w="0" w:type="auto"/>
                </w:tcPr>
                <w:p w14:paraId="51AF0648" w14:textId="77777777" w:rsidR="00A42361" w:rsidRPr="001B0E42" w:rsidRDefault="00A42361" w:rsidP="001B0E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5F7E1C9" w14:textId="77777777" w:rsidR="004E19BE" w:rsidRPr="00134F3B" w:rsidRDefault="004E19BE" w:rsidP="00794AF8">
            <w:pPr>
              <w:pStyle w:val="1bodycopy10pt"/>
              <w:spacing w:after="0"/>
              <w:rPr>
                <w:rFonts w:ascii="Segoe UI" w:hAnsi="Segoe UI" w:cs="Segoe UI"/>
                <w:szCs w:val="20"/>
                <w:lang w:val="en-GB"/>
              </w:rPr>
            </w:pPr>
          </w:p>
        </w:tc>
      </w:tr>
      <w:tr w:rsidR="004E19BE" w14:paraId="3B98C3CD" w14:textId="77777777" w:rsidTr="00F36998">
        <w:tc>
          <w:tcPr>
            <w:tcW w:w="10456" w:type="dxa"/>
            <w:gridSpan w:val="2"/>
            <w:shd w:val="clear" w:color="auto" w:fill="A6A6A6" w:themeFill="background1" w:themeFillShade="A6"/>
          </w:tcPr>
          <w:p w14:paraId="4C7B91E4" w14:textId="77777777" w:rsidR="004E19BE" w:rsidRPr="004E19BE" w:rsidRDefault="00590871" w:rsidP="008E6A3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Internal Appeals </w:t>
            </w:r>
            <w:r w:rsidR="00082045">
              <w:rPr>
                <w:rFonts w:ascii="Segoe UI" w:hAnsi="Segoe UI" w:cs="Segoe UI"/>
                <w:b/>
                <w:sz w:val="24"/>
                <w:szCs w:val="24"/>
              </w:rPr>
              <w:t>Procedures</w:t>
            </w:r>
          </w:p>
        </w:tc>
      </w:tr>
      <w:tr w:rsidR="004E19BE" w14:paraId="0E679F7A" w14:textId="77777777" w:rsidTr="004D0BAB">
        <w:tc>
          <w:tcPr>
            <w:tcW w:w="10456" w:type="dxa"/>
            <w:gridSpan w:val="2"/>
          </w:tcPr>
          <w:p w14:paraId="6E9C5F7E" w14:textId="77777777" w:rsidR="00590871" w:rsidRPr="00BF1F23" w:rsidRDefault="00590871" w:rsidP="00590871">
            <w:pPr>
              <w:pStyle w:val="1bodycopy10pt"/>
              <w:spacing w:after="0"/>
              <w:rPr>
                <w:rFonts w:ascii="Segoe UI" w:hAnsi="Segoe UI" w:cs="Segoe UI"/>
                <w:lang w:val="en-GB"/>
              </w:rPr>
            </w:pPr>
            <w:r w:rsidRPr="00BF1F23">
              <w:rPr>
                <w:rFonts w:ascii="Segoe UI" w:hAnsi="Segoe UI" w:cs="Segoe UI"/>
                <w:lang w:val="en-GB"/>
              </w:rPr>
              <w:t xml:space="preserve">Internal appeals procedures: </w:t>
            </w:r>
            <w:r w:rsidR="00CE31A2" w:rsidRPr="00BF1F23">
              <w:rPr>
                <w:rFonts w:ascii="Segoe UI" w:hAnsi="Segoe UI" w:cs="Segoe UI"/>
                <w:lang w:val="en-GB"/>
              </w:rPr>
              <w:t xml:space="preserve">  </w:t>
            </w:r>
          </w:p>
          <w:p w14:paraId="000864AE" w14:textId="77777777" w:rsidR="00590871" w:rsidRPr="00BF1F23" w:rsidRDefault="00590871" w:rsidP="00590871">
            <w:pPr>
              <w:pStyle w:val="1bodycopy10pt"/>
              <w:numPr>
                <w:ilvl w:val="0"/>
                <w:numId w:val="25"/>
              </w:numPr>
              <w:spacing w:after="0"/>
              <w:jc w:val="both"/>
              <w:rPr>
                <w:rFonts w:ascii="Segoe UI" w:hAnsi="Segoe UI" w:cs="Segoe UI"/>
                <w:lang w:val="en-GB"/>
              </w:rPr>
            </w:pPr>
            <w:r w:rsidRPr="00BF1F23">
              <w:rPr>
                <w:rFonts w:ascii="Segoe UI" w:hAnsi="Segoe UI" w:cs="Segoe UI"/>
                <w:lang w:val="en-GB"/>
              </w:rPr>
              <w:t>relating to internal assessment decisions</w:t>
            </w:r>
          </w:p>
          <w:p w14:paraId="2CE4B430" w14:textId="77777777" w:rsidR="00BF1F23" w:rsidRDefault="00590871" w:rsidP="00F416A8">
            <w:pPr>
              <w:pStyle w:val="1bodycopy10pt"/>
              <w:numPr>
                <w:ilvl w:val="0"/>
                <w:numId w:val="24"/>
              </w:numPr>
              <w:spacing w:after="0"/>
              <w:jc w:val="both"/>
              <w:rPr>
                <w:rFonts w:ascii="Segoe UI" w:hAnsi="Segoe UI" w:cs="Segoe UI"/>
                <w:lang w:val="en-GB"/>
              </w:rPr>
            </w:pPr>
            <w:r w:rsidRPr="00BF1F23">
              <w:rPr>
                <w:rFonts w:ascii="Segoe UI" w:hAnsi="Segoe UI" w:cs="Segoe UI"/>
                <w:lang w:val="en-GB"/>
              </w:rPr>
              <w:t>to manage disputes when a candidate disagrees with a centre decision not to support a review of results or an appeal</w:t>
            </w:r>
            <w:r w:rsidR="00F416A8">
              <w:rPr>
                <w:rFonts w:ascii="Segoe UI" w:hAnsi="Segoe UI" w:cs="Segoe UI"/>
                <w:lang w:val="en-GB"/>
              </w:rPr>
              <w:t xml:space="preserve"> and the </w:t>
            </w:r>
            <w:r w:rsidR="00327E5D">
              <w:rPr>
                <w:rFonts w:ascii="Segoe UI" w:hAnsi="Segoe UI" w:cs="Segoe UI"/>
                <w:lang w:val="en-GB"/>
              </w:rPr>
              <w:t>Appeal form</w:t>
            </w:r>
          </w:p>
          <w:p w14:paraId="5D0B1D15" w14:textId="300437FD" w:rsidR="00A42361" w:rsidRPr="004E19BE" w:rsidRDefault="00A42361" w:rsidP="00A42361">
            <w:pPr>
              <w:pStyle w:val="1bodycopy10pt"/>
              <w:spacing w:after="0"/>
              <w:jc w:val="both"/>
              <w:rPr>
                <w:rFonts w:ascii="Segoe UI" w:hAnsi="Segoe UI" w:cs="Segoe UI"/>
                <w:lang w:val="en-GB"/>
              </w:rPr>
            </w:pPr>
          </w:p>
        </w:tc>
      </w:tr>
      <w:tr w:rsidR="004E19BE" w14:paraId="7EE36FFC" w14:textId="77777777" w:rsidTr="00F36998">
        <w:tc>
          <w:tcPr>
            <w:tcW w:w="10456" w:type="dxa"/>
            <w:gridSpan w:val="2"/>
            <w:shd w:val="clear" w:color="auto" w:fill="A6A6A6" w:themeFill="background1" w:themeFillShade="A6"/>
          </w:tcPr>
          <w:p w14:paraId="385DBB33" w14:textId="75E76E82" w:rsidR="004E19BE" w:rsidRPr="004E19BE" w:rsidRDefault="004E19BE" w:rsidP="009A637C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="009A637C" w:rsidRPr="009A637C">
              <w:rPr>
                <w:rFonts w:ascii="Segoe UI" w:hAnsi="Segoe UI" w:cs="Segoe UI"/>
                <w:b/>
                <w:sz w:val="24"/>
                <w:szCs w:val="24"/>
              </w:rPr>
              <w:t>Exam Access Arrangements</w:t>
            </w:r>
          </w:p>
        </w:tc>
      </w:tr>
      <w:tr w:rsidR="004E19BE" w14:paraId="7DFBA57A" w14:textId="77777777" w:rsidTr="004D0BAB">
        <w:tc>
          <w:tcPr>
            <w:tcW w:w="10456" w:type="dxa"/>
            <w:gridSpan w:val="2"/>
          </w:tcPr>
          <w:p w14:paraId="764C1C4A" w14:textId="77777777" w:rsidR="004E19BE" w:rsidRDefault="009A637C" w:rsidP="006A4E16">
            <w:pPr>
              <w:pStyle w:val="1bodycopy10pt"/>
              <w:spacing w:after="0"/>
              <w:rPr>
                <w:rFonts w:ascii="Segoe UI" w:hAnsi="Segoe UI" w:cs="Segoe UI"/>
                <w:lang w:val="en-GB"/>
              </w:rPr>
            </w:pPr>
            <w:r w:rsidRPr="009A637C">
              <w:rPr>
                <w:rFonts w:ascii="Segoe UI" w:hAnsi="Segoe UI" w:cs="Segoe UI"/>
                <w:lang w:val="en-GB"/>
              </w:rPr>
              <w:t>Policy for requesting, assessing and securing Exam Access Arrangements</w:t>
            </w:r>
          </w:p>
          <w:p w14:paraId="59ADCA6D" w14:textId="77777777" w:rsidR="00991549" w:rsidRDefault="00991549" w:rsidP="00243F2A">
            <w:pPr>
              <w:pStyle w:val="1bodycopy10pt"/>
              <w:numPr>
                <w:ilvl w:val="0"/>
                <w:numId w:val="31"/>
              </w:numPr>
              <w:spacing w:after="0"/>
              <w:rPr>
                <w:rFonts w:ascii="Segoe UI" w:hAnsi="Segoe UI" w:cs="Segoe UI"/>
                <w:lang w:val="en-GB"/>
              </w:rPr>
            </w:pPr>
            <w:r>
              <w:rPr>
                <w:rFonts w:ascii="Segoe UI" w:hAnsi="Segoe UI" w:cs="Segoe UI"/>
                <w:lang w:val="en-GB"/>
              </w:rPr>
              <w:t>Outlining the steps taken from identification of need to implementation</w:t>
            </w:r>
          </w:p>
          <w:p w14:paraId="60E64BED" w14:textId="1DDD9BC6" w:rsidR="00A42361" w:rsidRPr="009A637C" w:rsidRDefault="00A42361" w:rsidP="00A42361">
            <w:pPr>
              <w:pStyle w:val="1bodycopy10pt"/>
              <w:spacing w:after="0"/>
              <w:rPr>
                <w:rFonts w:ascii="Segoe UI" w:hAnsi="Segoe UI" w:cs="Segoe UI"/>
                <w:lang w:val="en-GB"/>
              </w:rPr>
            </w:pPr>
          </w:p>
        </w:tc>
      </w:tr>
      <w:tr w:rsidR="004E19BE" w14:paraId="65AB1CD8" w14:textId="77777777" w:rsidTr="00F36998">
        <w:tc>
          <w:tcPr>
            <w:tcW w:w="10456" w:type="dxa"/>
            <w:gridSpan w:val="2"/>
            <w:shd w:val="clear" w:color="auto" w:fill="A6A6A6" w:themeFill="background1" w:themeFillShade="A6"/>
          </w:tcPr>
          <w:p w14:paraId="3A08261E" w14:textId="77777777" w:rsidR="004E19BE" w:rsidRPr="00CE31A2" w:rsidRDefault="00CE31A2" w:rsidP="00CE31A2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Related Centre Policies</w:t>
            </w:r>
          </w:p>
        </w:tc>
      </w:tr>
      <w:tr w:rsidR="004E19BE" w14:paraId="4BECD1C9" w14:textId="77777777" w:rsidTr="004D0BAB">
        <w:tc>
          <w:tcPr>
            <w:tcW w:w="10456" w:type="dxa"/>
            <w:gridSpan w:val="2"/>
          </w:tcPr>
          <w:p w14:paraId="707E8366" w14:textId="00F36C10" w:rsidR="004E19BE" w:rsidRDefault="00EE7120" w:rsidP="006A4E16">
            <w:pPr>
              <w:pStyle w:val="1bodycopy10pt"/>
              <w:spacing w:after="0"/>
              <w:rPr>
                <w:rFonts w:ascii="Segoe UI" w:eastAsiaTheme="minorHAnsi" w:hAnsi="Segoe UI" w:cs="Segoe UI"/>
                <w:szCs w:val="20"/>
                <w:lang w:val="en-GB"/>
              </w:rPr>
            </w:pPr>
            <w:r w:rsidRPr="00EE7120">
              <w:rPr>
                <w:rFonts w:ascii="Segoe UI" w:hAnsi="Segoe UI" w:cs="Segoe UI"/>
                <w:szCs w:val="20"/>
                <w:lang w:val="en-GB"/>
              </w:rPr>
              <w:t>The following school policies are available to view via this link:</w:t>
            </w:r>
            <w:r w:rsidR="008D57CE">
              <w:rPr>
                <w:rFonts w:ascii="Segoe UI" w:hAnsi="Segoe UI" w:cs="Segoe UI"/>
                <w:szCs w:val="20"/>
                <w:lang w:val="en-GB"/>
              </w:rPr>
              <w:t xml:space="preserve"> </w:t>
            </w:r>
            <w:r w:rsidR="008D57CE" w:rsidRPr="00EE7120">
              <w:rPr>
                <w:rFonts w:ascii="Segoe UI" w:eastAsiaTheme="minorHAnsi" w:hAnsi="Segoe UI" w:cs="Segoe UI"/>
                <w:szCs w:val="20"/>
                <w:lang w:val="en-GB"/>
              </w:rPr>
              <w:t xml:space="preserve"> </w:t>
            </w:r>
            <w:hyperlink r:id="rId9" w:history="1">
              <w:r w:rsidR="008D57CE" w:rsidRPr="00903384">
                <w:rPr>
                  <w:rStyle w:val="Hyperlink"/>
                  <w:rFonts w:ascii="Segoe UI" w:eastAsiaTheme="minorHAnsi" w:hAnsi="Segoe UI" w:cs="Segoe UI"/>
                  <w:szCs w:val="20"/>
                  <w:lang w:val="en-GB"/>
                </w:rPr>
                <w:t>https://stockgrn.bham.sch.uk/about/school-policies/</w:t>
              </w:r>
            </w:hyperlink>
          </w:p>
          <w:p w14:paraId="309F82B6" w14:textId="77777777" w:rsidR="008D57CE" w:rsidRDefault="008D57CE" w:rsidP="007A7EE4">
            <w:pPr>
              <w:shd w:val="clear" w:color="auto" w:fill="FFFFFF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18733831" w14:textId="72664293" w:rsidR="007A7EE4" w:rsidRDefault="007A7EE4" w:rsidP="007A7EE4">
            <w:pPr>
              <w:shd w:val="clear" w:color="auto" w:fill="FFFFFF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The most up to date versions of our policies can be accessed via the following link</w:t>
            </w:r>
            <w:r w:rsidR="008D57CE">
              <w:rPr>
                <w:rFonts w:ascii="Segoe UI" w:hAnsi="Segoe UI" w:cs="Segoe UI"/>
                <w:b/>
                <w:sz w:val="20"/>
                <w:szCs w:val="20"/>
              </w:rPr>
              <w:t>s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  <w:r w:rsidRPr="007A7EE4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029DDF64" w14:textId="77777777" w:rsidR="008D57CE" w:rsidRDefault="008D57CE" w:rsidP="007A7EE4">
            <w:pPr>
              <w:shd w:val="clear" w:color="auto" w:fill="FFFFFF"/>
              <w:rPr>
                <w:rFonts w:ascii="Segoe UI" w:hAnsi="Segoe UI" w:cs="Segoe UI"/>
                <w:sz w:val="20"/>
                <w:szCs w:val="20"/>
              </w:rPr>
            </w:pPr>
          </w:p>
          <w:p w14:paraId="43422B87" w14:textId="741EFA22" w:rsidR="008D57CE" w:rsidRPr="008D57CE" w:rsidRDefault="008D57CE" w:rsidP="007A7EE4">
            <w:pPr>
              <w:shd w:val="clear" w:color="auto" w:fill="FFFFFF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57CE">
              <w:rPr>
                <w:rFonts w:ascii="Segoe UI" w:hAnsi="Segoe UI" w:cs="Segoe UI"/>
                <w:b/>
                <w:bCs/>
                <w:sz w:val="20"/>
                <w:szCs w:val="20"/>
              </w:rPr>
              <w:t>Exams:</w:t>
            </w:r>
          </w:p>
          <w:p w14:paraId="636EDB1E" w14:textId="3B308145" w:rsidR="008D57CE" w:rsidRDefault="00D826E5" w:rsidP="007A7EE4">
            <w:pPr>
              <w:shd w:val="clear" w:color="auto" w:fill="FFFFFF"/>
              <w:rPr>
                <w:rFonts w:ascii="Segoe UI" w:hAnsi="Segoe UI" w:cs="Segoe UI"/>
                <w:sz w:val="20"/>
                <w:szCs w:val="20"/>
              </w:rPr>
            </w:pPr>
            <w:hyperlink r:id="rId10" w:history="1">
              <w:r w:rsidR="008D57CE" w:rsidRPr="0090338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https://stockgrn.bham.sch.uk/students/exams/</w:t>
              </w:r>
            </w:hyperlink>
          </w:p>
          <w:p w14:paraId="409BFD88" w14:textId="77777777" w:rsidR="008D57CE" w:rsidRDefault="008D57CE" w:rsidP="007A7EE4">
            <w:pPr>
              <w:shd w:val="clear" w:color="auto" w:fill="FFFFFF"/>
              <w:rPr>
                <w:rFonts w:ascii="Segoe UI" w:hAnsi="Segoe UI" w:cs="Segoe UI"/>
                <w:sz w:val="20"/>
                <w:szCs w:val="20"/>
              </w:rPr>
            </w:pPr>
          </w:p>
          <w:p w14:paraId="546136C2" w14:textId="7A60DA4C" w:rsidR="008D57CE" w:rsidRPr="008D57CE" w:rsidRDefault="008D57CE" w:rsidP="007A7EE4">
            <w:pPr>
              <w:shd w:val="clear" w:color="auto" w:fill="FFFFFF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D57CE">
              <w:rPr>
                <w:rFonts w:ascii="Segoe UI" w:hAnsi="Segoe UI" w:cs="Segoe UI"/>
                <w:b/>
                <w:bCs/>
                <w:sz w:val="20"/>
                <w:szCs w:val="20"/>
              </w:rPr>
              <w:t>Covid:</w:t>
            </w:r>
          </w:p>
          <w:p w14:paraId="1BF20161" w14:textId="7F174625" w:rsidR="008D57CE" w:rsidRDefault="00D826E5" w:rsidP="007A7EE4">
            <w:pPr>
              <w:shd w:val="clear" w:color="auto" w:fill="FFFFFF"/>
              <w:rPr>
                <w:rFonts w:ascii="Segoe UI" w:hAnsi="Segoe UI" w:cs="Segoe UI"/>
                <w:sz w:val="20"/>
                <w:szCs w:val="20"/>
              </w:rPr>
            </w:pPr>
            <w:hyperlink r:id="rId11" w:history="1">
              <w:r w:rsidR="008D57CE" w:rsidRPr="00903384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https://atlp.org.uk/covid-19/</w:t>
              </w:r>
            </w:hyperlink>
          </w:p>
          <w:p w14:paraId="17087E80" w14:textId="77777777" w:rsidR="008D57CE" w:rsidRDefault="008D57CE" w:rsidP="007A7EE4">
            <w:pPr>
              <w:shd w:val="clear" w:color="auto" w:fill="FFFFFF"/>
              <w:rPr>
                <w:rFonts w:ascii="Segoe UI" w:hAnsi="Segoe UI" w:cs="Segoe UI"/>
                <w:sz w:val="20"/>
                <w:szCs w:val="20"/>
              </w:rPr>
            </w:pPr>
          </w:p>
          <w:p w14:paraId="33B5438A" w14:textId="096C1D9E" w:rsidR="008D57CE" w:rsidRPr="007A7EE4" w:rsidRDefault="008D57CE" w:rsidP="008D57CE">
            <w:pPr>
              <w:shd w:val="clear" w:color="auto" w:fill="FFFFFF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22DD9" w14:paraId="3BCBA69F" w14:textId="77777777" w:rsidTr="00F36998">
        <w:tc>
          <w:tcPr>
            <w:tcW w:w="10456" w:type="dxa"/>
            <w:gridSpan w:val="2"/>
            <w:shd w:val="clear" w:color="auto" w:fill="A6A6A6" w:themeFill="background1" w:themeFillShade="A6"/>
          </w:tcPr>
          <w:p w14:paraId="5738DEE4" w14:textId="77777777" w:rsidR="00422DD9" w:rsidRPr="007057F3" w:rsidRDefault="007057F3" w:rsidP="008E6A3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Monitoring and Review</w:t>
            </w:r>
          </w:p>
        </w:tc>
      </w:tr>
      <w:tr w:rsidR="00422DD9" w14:paraId="1B553DFE" w14:textId="77777777" w:rsidTr="004D0BAB">
        <w:tc>
          <w:tcPr>
            <w:tcW w:w="10456" w:type="dxa"/>
            <w:gridSpan w:val="2"/>
          </w:tcPr>
          <w:p w14:paraId="0EC3FAC8" w14:textId="764C434C" w:rsidR="00CB173F" w:rsidRDefault="00CB173F" w:rsidP="00CB173F">
            <w:pPr>
              <w:rPr>
                <w:rFonts w:ascii="Segoe UI" w:hAnsi="Segoe UI" w:cs="Segoe UI"/>
                <w:sz w:val="20"/>
                <w:szCs w:val="20"/>
              </w:rPr>
            </w:pPr>
            <w:r w:rsidRPr="00CB173F">
              <w:rPr>
                <w:rFonts w:ascii="Segoe UI" w:hAnsi="Segoe UI" w:cs="Segoe UI"/>
                <w:sz w:val="20"/>
                <w:szCs w:val="20"/>
              </w:rPr>
              <w:t xml:space="preserve">The head of centre is responsible for ensuring that </w:t>
            </w:r>
            <w:r w:rsidR="00EE7120">
              <w:rPr>
                <w:rFonts w:ascii="Segoe UI" w:hAnsi="Segoe UI" w:cs="Segoe UI"/>
                <w:sz w:val="20"/>
                <w:szCs w:val="20"/>
              </w:rPr>
              <w:t xml:space="preserve">all </w:t>
            </w:r>
            <w:r w:rsidR="009D2FA7">
              <w:rPr>
                <w:rFonts w:ascii="Segoe UI" w:hAnsi="Segoe UI" w:cs="Segoe UI"/>
                <w:sz w:val="20"/>
                <w:szCs w:val="20"/>
              </w:rPr>
              <w:t>exams’</w:t>
            </w:r>
            <w:r w:rsidR="00EE7120">
              <w:rPr>
                <w:rFonts w:ascii="Segoe UI" w:hAnsi="Segoe UI" w:cs="Segoe UI"/>
                <w:sz w:val="20"/>
                <w:szCs w:val="20"/>
              </w:rPr>
              <w:t xml:space="preserve"> policies are</w:t>
            </w:r>
            <w:r w:rsidRPr="00CB173F">
              <w:rPr>
                <w:rFonts w:ascii="Segoe UI" w:hAnsi="Segoe UI" w:cs="Segoe UI"/>
                <w:sz w:val="20"/>
                <w:szCs w:val="20"/>
              </w:rPr>
              <w:t xml:space="preserve"> reviewed and updated annually on the publication of updated JCQ regulations and guidance on access arrangements and instructions for conducting exams. </w:t>
            </w:r>
            <w:r w:rsidR="00EE712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4998CE04" w14:textId="77777777" w:rsidR="009D2FA7" w:rsidRPr="00CB173F" w:rsidRDefault="009D2FA7" w:rsidP="00CB173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3C6C22A" w14:textId="0B48A450" w:rsidR="008D57CE" w:rsidRPr="0071503F" w:rsidRDefault="00CB173F" w:rsidP="00CB173F">
            <w:pPr>
              <w:rPr>
                <w:rStyle w:val="Hyperlink"/>
                <w:rFonts w:ascii="Segoe UI" w:hAnsi="Segoe UI" w:cs="Segoe UI"/>
                <w:sz w:val="20"/>
                <w:szCs w:val="20"/>
              </w:rPr>
            </w:pPr>
            <w:r w:rsidRPr="00CB173F">
              <w:rPr>
                <w:rFonts w:ascii="Segoe UI" w:hAnsi="Segoe UI" w:cs="Segoe UI"/>
                <w:sz w:val="20"/>
                <w:szCs w:val="20"/>
              </w:rPr>
              <w:t xml:space="preserve">References in this policy to AA and ICE relate to/are directly taken from the  </w:t>
            </w:r>
            <w:r w:rsidR="0071503F">
              <w:rPr>
                <w:rFonts w:ascii="Segoe UI" w:hAnsi="Segoe UI" w:cs="Segoe UI"/>
                <w:color w:val="0072CC"/>
                <w:sz w:val="20"/>
                <w:szCs w:val="20"/>
                <w:u w:val="single"/>
              </w:rPr>
              <w:fldChar w:fldCharType="begin"/>
            </w:r>
            <w:r w:rsidR="0071503F">
              <w:rPr>
                <w:rFonts w:ascii="Segoe UI" w:hAnsi="Segoe UI" w:cs="Segoe UI"/>
                <w:color w:val="0072CC"/>
                <w:sz w:val="20"/>
                <w:szCs w:val="20"/>
                <w:u w:val="single"/>
              </w:rPr>
              <w:instrText xml:space="preserve"> HYPERLINK "https://www.jcq.org.uk/exams-office/access-arrangements-and-special-consideration/" </w:instrText>
            </w:r>
            <w:r w:rsidR="0071503F">
              <w:rPr>
                <w:rFonts w:ascii="Segoe UI" w:hAnsi="Segoe UI" w:cs="Segoe UI"/>
                <w:color w:val="0072CC"/>
                <w:sz w:val="20"/>
                <w:szCs w:val="20"/>
                <w:u w:val="single"/>
              </w:rPr>
              <w:fldChar w:fldCharType="separate"/>
            </w:r>
            <w:r w:rsidR="00FA0B01" w:rsidRPr="0071503F">
              <w:rPr>
                <w:rStyle w:val="Hyperlink"/>
                <w:rFonts w:ascii="Segoe UI" w:hAnsi="Segoe UI" w:cs="Segoe UI"/>
                <w:sz w:val="20"/>
                <w:szCs w:val="20"/>
              </w:rPr>
              <w:t>Access Arrangements and Reasonable Adjustments 202</w:t>
            </w:r>
            <w:r w:rsidR="003D517C">
              <w:rPr>
                <w:rStyle w:val="Hyperlink"/>
                <w:rFonts w:ascii="Segoe UI" w:hAnsi="Segoe UI" w:cs="Segoe UI"/>
                <w:sz w:val="20"/>
                <w:szCs w:val="20"/>
              </w:rPr>
              <w:t>1</w:t>
            </w:r>
            <w:r w:rsidR="00FA0B01" w:rsidRPr="0071503F">
              <w:rPr>
                <w:rStyle w:val="Hyperlink"/>
                <w:rFonts w:ascii="Segoe UI" w:hAnsi="Segoe UI" w:cs="Segoe UI"/>
                <w:sz w:val="20"/>
                <w:szCs w:val="20"/>
              </w:rPr>
              <w:t>-202</w:t>
            </w:r>
            <w:r w:rsidR="003D517C">
              <w:rPr>
                <w:rStyle w:val="Hyperlink"/>
                <w:rFonts w:ascii="Segoe UI" w:hAnsi="Segoe UI" w:cs="Segoe UI"/>
                <w:sz w:val="20"/>
                <w:szCs w:val="20"/>
              </w:rPr>
              <w:t>2</w:t>
            </w:r>
            <w:r w:rsidRPr="0071503F">
              <w:rPr>
                <w:rStyle w:val="Hyperlink"/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352294EF" w14:textId="76BD196E" w:rsidR="008D57CE" w:rsidRDefault="0071503F" w:rsidP="00CB173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72CC"/>
                <w:sz w:val="20"/>
                <w:szCs w:val="20"/>
                <w:u w:val="single"/>
              </w:rPr>
              <w:fldChar w:fldCharType="end"/>
            </w:r>
          </w:p>
          <w:p w14:paraId="613DB8A2" w14:textId="77777777" w:rsidR="008D57CE" w:rsidRDefault="008D57CE" w:rsidP="00CB173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81B3E3C" w14:textId="77777777" w:rsidR="00422DD9" w:rsidRDefault="00CB173F" w:rsidP="00CB173F">
            <w:pPr>
              <w:rPr>
                <w:rFonts w:ascii="Segoe UI" w:hAnsi="Segoe UI" w:cs="Segoe UI"/>
                <w:sz w:val="20"/>
                <w:szCs w:val="20"/>
              </w:rPr>
            </w:pPr>
            <w:r w:rsidRPr="00CB173F">
              <w:rPr>
                <w:rFonts w:ascii="Segoe UI" w:hAnsi="Segoe UI" w:cs="Segoe UI"/>
                <w:sz w:val="20"/>
                <w:szCs w:val="20"/>
              </w:rPr>
              <w:t xml:space="preserve">and </w:t>
            </w:r>
            <w:hyperlink r:id="rId12" w:history="1">
              <w:r w:rsidR="00FA0B01" w:rsidRPr="008D57CE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Instructions for Conducting Examinations 202</w:t>
              </w:r>
              <w:r w:rsidR="008D57CE" w:rsidRPr="008D57CE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1</w:t>
              </w:r>
              <w:r w:rsidR="00FA0B01" w:rsidRPr="008D57CE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-202</w:t>
              </w:r>
              <w:r w:rsidR="008D57CE" w:rsidRPr="008D57CE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2</w:t>
              </w:r>
            </w:hyperlink>
            <w:r w:rsidRPr="00CB173F">
              <w:rPr>
                <w:rFonts w:ascii="Segoe UI" w:hAnsi="Segoe UI" w:cs="Segoe UI"/>
                <w:sz w:val="20"/>
                <w:szCs w:val="20"/>
              </w:rPr>
              <w:t xml:space="preserve"> publications</w:t>
            </w:r>
            <w:r w:rsidR="008E3BC6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F6AAB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</w:p>
          <w:p w14:paraId="0F78760B" w14:textId="3E71A031" w:rsidR="00A42361" w:rsidRPr="00A10713" w:rsidRDefault="00A42361" w:rsidP="00CB173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0380361" w14:textId="2522B91C" w:rsidR="001E3D4B" w:rsidRDefault="001E3D4B" w:rsidP="009F6AAB">
      <w:pPr>
        <w:rPr>
          <w:rFonts w:ascii="Segoe UI" w:hAnsi="Segoe UI" w:cs="Segoe UI"/>
          <w:sz w:val="20"/>
          <w:szCs w:val="20"/>
        </w:rPr>
      </w:pPr>
    </w:p>
    <w:p w14:paraId="40242E6E" w14:textId="471601D6" w:rsidR="009D2FA7" w:rsidRPr="009D2FA7" w:rsidRDefault="009D2FA7" w:rsidP="009D2FA7">
      <w:pPr>
        <w:rPr>
          <w:rFonts w:ascii="Segoe UI" w:hAnsi="Segoe UI" w:cs="Segoe UI"/>
          <w:sz w:val="20"/>
          <w:szCs w:val="20"/>
        </w:rPr>
      </w:pPr>
    </w:p>
    <w:p w14:paraId="32513A59" w14:textId="7138265F" w:rsidR="009D2FA7" w:rsidRPr="009D2FA7" w:rsidRDefault="009D2FA7" w:rsidP="009D2FA7">
      <w:pPr>
        <w:rPr>
          <w:rFonts w:ascii="Segoe UI" w:hAnsi="Segoe UI" w:cs="Segoe UI"/>
          <w:sz w:val="20"/>
          <w:szCs w:val="20"/>
        </w:rPr>
      </w:pPr>
    </w:p>
    <w:p w14:paraId="1224F3A4" w14:textId="2EA38810" w:rsidR="009D2FA7" w:rsidRPr="009D2FA7" w:rsidRDefault="009D2FA7" w:rsidP="009D2FA7">
      <w:pPr>
        <w:tabs>
          <w:tab w:val="left" w:pos="4740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</w:p>
    <w:sectPr w:rsidR="009D2FA7" w:rsidRPr="009D2FA7" w:rsidSect="0081691E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8EB5" w14:textId="77777777" w:rsidR="00B24BCA" w:rsidRDefault="00B24BCA" w:rsidP="00B75480">
      <w:pPr>
        <w:spacing w:after="0" w:line="240" w:lineRule="auto"/>
      </w:pPr>
      <w:r>
        <w:separator/>
      </w:r>
    </w:p>
  </w:endnote>
  <w:endnote w:type="continuationSeparator" w:id="0">
    <w:p w14:paraId="43BF3D34" w14:textId="77777777" w:rsidR="00B24BCA" w:rsidRDefault="00B24BCA" w:rsidP="00B7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E2C4" w14:textId="63C411DF" w:rsidR="004D0BAB" w:rsidRDefault="004D0BAB">
    <w:pPr>
      <w:pStyle w:val="Footer"/>
    </w:pPr>
    <w:r>
      <w:t xml:space="preserve">Written by Mandy </w:t>
    </w:r>
    <w:r w:rsidR="00FA0B01">
      <w:t>Johnson</w:t>
    </w:r>
    <w:r>
      <w:t xml:space="preserve"> </w:t>
    </w:r>
    <w:r>
      <w:ptab w:relativeTo="margin" w:alignment="center" w:leader="none"/>
    </w:r>
    <w:r>
      <w:t>Policy Overview Document</w:t>
    </w:r>
    <w:r w:rsidR="009D2FA7">
      <w:t xml:space="preserve"> 2021-22</w:t>
    </w:r>
    <w:r>
      <w:ptab w:relativeTo="margin" w:alignment="right" w:leader="none"/>
    </w:r>
    <w:r w:rsidR="00FA0B01">
      <w:t xml:space="preserve">  </w:t>
    </w:r>
    <w:r w:rsidR="00125D99">
      <w:t>Stockland Green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8E04E" w14:textId="77777777" w:rsidR="00B24BCA" w:rsidRDefault="00B24BCA" w:rsidP="00B75480">
      <w:pPr>
        <w:spacing w:after="0" w:line="240" w:lineRule="auto"/>
      </w:pPr>
      <w:r>
        <w:separator/>
      </w:r>
    </w:p>
  </w:footnote>
  <w:footnote w:type="continuationSeparator" w:id="0">
    <w:p w14:paraId="2C055BFF" w14:textId="77777777" w:rsidR="00B24BCA" w:rsidRDefault="00B24BCA" w:rsidP="00B75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46B5A5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30763BF"/>
    <w:multiLevelType w:val="hybridMultilevel"/>
    <w:tmpl w:val="E402C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B0C60"/>
    <w:multiLevelType w:val="multilevel"/>
    <w:tmpl w:val="D320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0DC27CF5"/>
    <w:multiLevelType w:val="hybridMultilevel"/>
    <w:tmpl w:val="3156414C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0E590E31"/>
    <w:multiLevelType w:val="hybridMultilevel"/>
    <w:tmpl w:val="F55C56C2"/>
    <w:lvl w:ilvl="0" w:tplc="CB32B44A">
      <w:numFmt w:val="bullet"/>
      <w:lvlText w:val="•"/>
      <w:lvlJc w:val="left"/>
      <w:pPr>
        <w:ind w:left="1080" w:hanging="720"/>
      </w:pPr>
      <w:rPr>
        <w:rFonts w:ascii="Segoe UI" w:eastAsia="MS Mincho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E5215"/>
    <w:multiLevelType w:val="hybridMultilevel"/>
    <w:tmpl w:val="53E86270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133B6AD0"/>
    <w:multiLevelType w:val="hybridMultilevel"/>
    <w:tmpl w:val="1C3ED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6062B9"/>
    <w:multiLevelType w:val="hybridMultilevel"/>
    <w:tmpl w:val="3ED26BD2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 w15:restartNumberingAfterBreak="0">
    <w:nsid w:val="1C2D1496"/>
    <w:multiLevelType w:val="hybridMultilevel"/>
    <w:tmpl w:val="F8FEE446"/>
    <w:lvl w:ilvl="0" w:tplc="CB32B44A">
      <w:numFmt w:val="bullet"/>
      <w:lvlText w:val="•"/>
      <w:lvlJc w:val="left"/>
      <w:pPr>
        <w:ind w:left="1080" w:hanging="720"/>
      </w:pPr>
      <w:rPr>
        <w:rFonts w:ascii="Segoe UI" w:eastAsia="MS Mincho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55316"/>
    <w:multiLevelType w:val="hybridMultilevel"/>
    <w:tmpl w:val="E8C09F3E"/>
    <w:lvl w:ilvl="0" w:tplc="CB32B44A">
      <w:numFmt w:val="bullet"/>
      <w:lvlText w:val="•"/>
      <w:lvlJc w:val="left"/>
      <w:pPr>
        <w:ind w:left="720" w:hanging="720"/>
      </w:pPr>
      <w:rPr>
        <w:rFonts w:ascii="Segoe UI" w:eastAsia="MS Mincho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950AEB"/>
    <w:multiLevelType w:val="hybridMultilevel"/>
    <w:tmpl w:val="0C00D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572CBB"/>
    <w:multiLevelType w:val="hybridMultilevel"/>
    <w:tmpl w:val="74AEAE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281019"/>
    <w:multiLevelType w:val="hybridMultilevel"/>
    <w:tmpl w:val="9BEC24D0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3" w15:restartNumberingAfterBreak="0">
    <w:nsid w:val="26067C86"/>
    <w:multiLevelType w:val="hybridMultilevel"/>
    <w:tmpl w:val="08BA4B90"/>
    <w:lvl w:ilvl="0" w:tplc="CB32B44A">
      <w:numFmt w:val="bullet"/>
      <w:lvlText w:val="•"/>
      <w:lvlJc w:val="left"/>
      <w:pPr>
        <w:ind w:left="1080" w:hanging="720"/>
      </w:pPr>
      <w:rPr>
        <w:rFonts w:ascii="Segoe UI" w:eastAsia="MS Mincho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8443B"/>
    <w:multiLevelType w:val="multilevel"/>
    <w:tmpl w:val="6C28B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84611A5"/>
    <w:multiLevelType w:val="hybridMultilevel"/>
    <w:tmpl w:val="22847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85A3C"/>
    <w:multiLevelType w:val="hybridMultilevel"/>
    <w:tmpl w:val="FFE6BD76"/>
    <w:lvl w:ilvl="0" w:tplc="CB32B44A">
      <w:numFmt w:val="bullet"/>
      <w:lvlText w:val="•"/>
      <w:lvlJc w:val="left"/>
      <w:pPr>
        <w:ind w:left="1080" w:hanging="720"/>
      </w:pPr>
      <w:rPr>
        <w:rFonts w:ascii="Segoe UI" w:eastAsia="MS Mincho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755B7"/>
    <w:multiLevelType w:val="hybridMultilevel"/>
    <w:tmpl w:val="1B2CA8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71055"/>
    <w:multiLevelType w:val="hybridMultilevel"/>
    <w:tmpl w:val="06068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B32B44A">
      <w:numFmt w:val="bullet"/>
      <w:lvlText w:val="•"/>
      <w:lvlJc w:val="left"/>
      <w:pPr>
        <w:ind w:left="1440" w:hanging="360"/>
      </w:pPr>
      <w:rPr>
        <w:rFonts w:ascii="Segoe UI" w:eastAsia="MS Mincho" w:hAnsi="Segoe UI" w:cs="Segoe U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25D8E"/>
    <w:multiLevelType w:val="multilevel"/>
    <w:tmpl w:val="97E6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0F33F7"/>
    <w:multiLevelType w:val="hybridMultilevel"/>
    <w:tmpl w:val="F092B82A"/>
    <w:lvl w:ilvl="0" w:tplc="CB32B44A">
      <w:numFmt w:val="bullet"/>
      <w:lvlText w:val="•"/>
      <w:lvlJc w:val="left"/>
      <w:pPr>
        <w:ind w:left="1080" w:hanging="720"/>
      </w:pPr>
      <w:rPr>
        <w:rFonts w:ascii="Segoe UI" w:eastAsia="MS Mincho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C6A09"/>
    <w:multiLevelType w:val="hybridMultilevel"/>
    <w:tmpl w:val="29945D22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2" w15:restartNumberingAfterBreak="0">
    <w:nsid w:val="633A7AC8"/>
    <w:multiLevelType w:val="hybridMultilevel"/>
    <w:tmpl w:val="596A8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02B4D"/>
    <w:multiLevelType w:val="hybridMultilevel"/>
    <w:tmpl w:val="B2B44C42"/>
    <w:lvl w:ilvl="0" w:tplc="CB32B44A">
      <w:numFmt w:val="bullet"/>
      <w:lvlText w:val="•"/>
      <w:lvlJc w:val="left"/>
      <w:pPr>
        <w:ind w:left="1080" w:hanging="720"/>
      </w:pPr>
      <w:rPr>
        <w:rFonts w:ascii="Segoe UI" w:eastAsia="MS Mincho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36F71"/>
    <w:multiLevelType w:val="multilevel"/>
    <w:tmpl w:val="1462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100054"/>
    <w:multiLevelType w:val="hybridMultilevel"/>
    <w:tmpl w:val="93ACCE4E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6" w15:restartNumberingAfterBreak="0">
    <w:nsid w:val="70B47224"/>
    <w:multiLevelType w:val="hybridMultilevel"/>
    <w:tmpl w:val="5D2A7F6C"/>
    <w:lvl w:ilvl="0" w:tplc="CB32B44A">
      <w:numFmt w:val="bullet"/>
      <w:lvlText w:val="•"/>
      <w:lvlJc w:val="left"/>
      <w:pPr>
        <w:ind w:left="1080" w:hanging="720"/>
      </w:pPr>
      <w:rPr>
        <w:rFonts w:ascii="Segoe UI" w:eastAsia="MS Mincho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77E22"/>
    <w:multiLevelType w:val="hybridMultilevel"/>
    <w:tmpl w:val="4C582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32B25"/>
    <w:multiLevelType w:val="hybridMultilevel"/>
    <w:tmpl w:val="DC0A0DD6"/>
    <w:lvl w:ilvl="0" w:tplc="CB32B44A">
      <w:numFmt w:val="bullet"/>
      <w:lvlText w:val="•"/>
      <w:lvlJc w:val="left"/>
      <w:pPr>
        <w:ind w:left="1440" w:hanging="720"/>
      </w:pPr>
      <w:rPr>
        <w:rFonts w:ascii="Segoe UI" w:eastAsia="MS Mincho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0" w15:restartNumberingAfterBreak="0">
    <w:nsid w:val="7E9D2A9E"/>
    <w:multiLevelType w:val="multilevel"/>
    <w:tmpl w:val="3D66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9"/>
  </w:num>
  <w:num w:numId="3">
    <w:abstractNumId w:val="2"/>
  </w:num>
  <w:num w:numId="4">
    <w:abstractNumId w:val="17"/>
  </w:num>
  <w:num w:numId="5">
    <w:abstractNumId w:val="0"/>
  </w:num>
  <w:num w:numId="6">
    <w:abstractNumId w:val="25"/>
  </w:num>
  <w:num w:numId="7">
    <w:abstractNumId w:val="21"/>
  </w:num>
  <w:num w:numId="8">
    <w:abstractNumId w:val="10"/>
  </w:num>
  <w:num w:numId="9">
    <w:abstractNumId w:val="11"/>
  </w:num>
  <w:num w:numId="10">
    <w:abstractNumId w:val="6"/>
  </w:num>
  <w:num w:numId="11">
    <w:abstractNumId w:val="12"/>
  </w:num>
  <w:num w:numId="12">
    <w:abstractNumId w:val="7"/>
  </w:num>
  <w:num w:numId="13">
    <w:abstractNumId w:val="5"/>
  </w:num>
  <w:num w:numId="14">
    <w:abstractNumId w:val="3"/>
  </w:num>
  <w:num w:numId="15">
    <w:abstractNumId w:val="27"/>
  </w:num>
  <w:num w:numId="16">
    <w:abstractNumId w:val="22"/>
  </w:num>
  <w:num w:numId="17">
    <w:abstractNumId w:val="20"/>
  </w:num>
  <w:num w:numId="18">
    <w:abstractNumId w:val="23"/>
  </w:num>
  <w:num w:numId="19">
    <w:abstractNumId w:val="28"/>
  </w:num>
  <w:num w:numId="20">
    <w:abstractNumId w:val="9"/>
  </w:num>
  <w:num w:numId="21">
    <w:abstractNumId w:val="16"/>
  </w:num>
  <w:num w:numId="22">
    <w:abstractNumId w:val="26"/>
  </w:num>
  <w:num w:numId="23">
    <w:abstractNumId w:val="18"/>
  </w:num>
  <w:num w:numId="24">
    <w:abstractNumId w:val="13"/>
  </w:num>
  <w:num w:numId="25">
    <w:abstractNumId w:val="4"/>
  </w:num>
  <w:num w:numId="26">
    <w:abstractNumId w:val="8"/>
  </w:num>
  <w:num w:numId="27">
    <w:abstractNumId w:val="30"/>
  </w:num>
  <w:num w:numId="28">
    <w:abstractNumId w:val="24"/>
  </w:num>
  <w:num w:numId="29">
    <w:abstractNumId w:val="19"/>
  </w:num>
  <w:num w:numId="30">
    <w:abstractNumId w:val="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91E"/>
    <w:rsid w:val="000617F2"/>
    <w:rsid w:val="00072585"/>
    <w:rsid w:val="00082045"/>
    <w:rsid w:val="00086F96"/>
    <w:rsid w:val="00103658"/>
    <w:rsid w:val="00125D99"/>
    <w:rsid w:val="00133F00"/>
    <w:rsid w:val="00134F3B"/>
    <w:rsid w:val="001B0E42"/>
    <w:rsid w:val="001E3D4B"/>
    <w:rsid w:val="001F354C"/>
    <w:rsid w:val="0021685B"/>
    <w:rsid w:val="00243F2A"/>
    <w:rsid w:val="00255C95"/>
    <w:rsid w:val="0025635C"/>
    <w:rsid w:val="00262A2C"/>
    <w:rsid w:val="00276C20"/>
    <w:rsid w:val="002A6CF2"/>
    <w:rsid w:val="002C4EC8"/>
    <w:rsid w:val="00327E5D"/>
    <w:rsid w:val="00343908"/>
    <w:rsid w:val="00372252"/>
    <w:rsid w:val="00381986"/>
    <w:rsid w:val="003C4088"/>
    <w:rsid w:val="003D517C"/>
    <w:rsid w:val="00422DD9"/>
    <w:rsid w:val="0042478E"/>
    <w:rsid w:val="00432490"/>
    <w:rsid w:val="0043597D"/>
    <w:rsid w:val="004453A3"/>
    <w:rsid w:val="00450C4C"/>
    <w:rsid w:val="00481C42"/>
    <w:rsid w:val="004C399A"/>
    <w:rsid w:val="004D0BAB"/>
    <w:rsid w:val="004E19BE"/>
    <w:rsid w:val="00515C3C"/>
    <w:rsid w:val="005256D6"/>
    <w:rsid w:val="00563B5F"/>
    <w:rsid w:val="00577171"/>
    <w:rsid w:val="00590871"/>
    <w:rsid w:val="006A4E16"/>
    <w:rsid w:val="006F4E56"/>
    <w:rsid w:val="007057F3"/>
    <w:rsid w:val="0071503F"/>
    <w:rsid w:val="00765BC1"/>
    <w:rsid w:val="00775D8C"/>
    <w:rsid w:val="007771EA"/>
    <w:rsid w:val="00787CD7"/>
    <w:rsid w:val="007925E8"/>
    <w:rsid w:val="00794AF8"/>
    <w:rsid w:val="007A7EE4"/>
    <w:rsid w:val="007B1AB4"/>
    <w:rsid w:val="007C0D90"/>
    <w:rsid w:val="007D6450"/>
    <w:rsid w:val="007E5411"/>
    <w:rsid w:val="007F0382"/>
    <w:rsid w:val="008068BB"/>
    <w:rsid w:val="0081691E"/>
    <w:rsid w:val="00820CAC"/>
    <w:rsid w:val="00836511"/>
    <w:rsid w:val="00843CB4"/>
    <w:rsid w:val="0084502D"/>
    <w:rsid w:val="00866E32"/>
    <w:rsid w:val="00873742"/>
    <w:rsid w:val="00897282"/>
    <w:rsid w:val="008C0C45"/>
    <w:rsid w:val="008D57CE"/>
    <w:rsid w:val="008E3BC6"/>
    <w:rsid w:val="008E6A37"/>
    <w:rsid w:val="00940FBC"/>
    <w:rsid w:val="009858DE"/>
    <w:rsid w:val="00991549"/>
    <w:rsid w:val="009A5D0E"/>
    <w:rsid w:val="009A637C"/>
    <w:rsid w:val="009D2A94"/>
    <w:rsid w:val="009D2FA7"/>
    <w:rsid w:val="009D3F74"/>
    <w:rsid w:val="009F6AAB"/>
    <w:rsid w:val="00A10713"/>
    <w:rsid w:val="00A33411"/>
    <w:rsid w:val="00A42361"/>
    <w:rsid w:val="00A5357A"/>
    <w:rsid w:val="00AA0FDB"/>
    <w:rsid w:val="00AA1884"/>
    <w:rsid w:val="00AA2755"/>
    <w:rsid w:val="00B24BCA"/>
    <w:rsid w:val="00B31007"/>
    <w:rsid w:val="00B32990"/>
    <w:rsid w:val="00B33C3B"/>
    <w:rsid w:val="00B4180A"/>
    <w:rsid w:val="00B43475"/>
    <w:rsid w:val="00B53699"/>
    <w:rsid w:val="00B75480"/>
    <w:rsid w:val="00BF1F23"/>
    <w:rsid w:val="00BF63A8"/>
    <w:rsid w:val="00C2074B"/>
    <w:rsid w:val="00C84B89"/>
    <w:rsid w:val="00C95DBC"/>
    <w:rsid w:val="00CB173F"/>
    <w:rsid w:val="00CC4D84"/>
    <w:rsid w:val="00CD62CD"/>
    <w:rsid w:val="00CE31A2"/>
    <w:rsid w:val="00D401F8"/>
    <w:rsid w:val="00D41A8E"/>
    <w:rsid w:val="00D550FE"/>
    <w:rsid w:val="00D73674"/>
    <w:rsid w:val="00D76DB8"/>
    <w:rsid w:val="00D826E5"/>
    <w:rsid w:val="00D93D6B"/>
    <w:rsid w:val="00D97026"/>
    <w:rsid w:val="00DA2EBC"/>
    <w:rsid w:val="00DA3E94"/>
    <w:rsid w:val="00DD0EEC"/>
    <w:rsid w:val="00E1413E"/>
    <w:rsid w:val="00E21944"/>
    <w:rsid w:val="00E23189"/>
    <w:rsid w:val="00E91449"/>
    <w:rsid w:val="00ED3D67"/>
    <w:rsid w:val="00EE7120"/>
    <w:rsid w:val="00EF3883"/>
    <w:rsid w:val="00F34006"/>
    <w:rsid w:val="00F36998"/>
    <w:rsid w:val="00F416A8"/>
    <w:rsid w:val="00F702DF"/>
    <w:rsid w:val="00FA0B01"/>
    <w:rsid w:val="00FB7A75"/>
    <w:rsid w:val="00FD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8995FB"/>
  <w15:docId w15:val="{46D7E668-A262-445A-BEE4-C15D0860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088"/>
  </w:style>
  <w:style w:type="paragraph" w:styleId="Heading1">
    <w:name w:val="heading 1"/>
    <w:basedOn w:val="Normal"/>
    <w:next w:val="Normal"/>
    <w:link w:val="Heading1Char"/>
    <w:uiPriority w:val="9"/>
    <w:qFormat/>
    <w:rsid w:val="00866E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qFormat/>
    <w:rsid w:val="00866E32"/>
    <w:rPr>
      <w:color w:val="0072C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6E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rsid w:val="00866E32"/>
    <w:pPr>
      <w:outlineLvl w:val="9"/>
    </w:pPr>
    <w:rPr>
      <w:rFonts w:ascii="Calibri Light" w:eastAsia="Times New Roman" w:hAnsi="Calibri Light" w:cs="Times New Roman"/>
      <w:color w:val="0D1C2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66E32"/>
    <w:pPr>
      <w:spacing w:after="10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66E32"/>
    <w:pPr>
      <w:ind w:left="720"/>
      <w:contextualSpacing/>
    </w:pPr>
  </w:style>
  <w:style w:type="paragraph" w:customStyle="1" w:styleId="1bodycopy10pt">
    <w:name w:val="1 body copy 10pt"/>
    <w:basedOn w:val="Normal"/>
    <w:link w:val="1bodycopy10ptChar"/>
    <w:qFormat/>
    <w:rsid w:val="00866E32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rsid w:val="00866E32"/>
    <w:pPr>
      <w:numPr>
        <w:numId w:val="2"/>
      </w:num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10ptChar">
    <w:name w:val="1 body copy 10pt Char"/>
    <w:link w:val="1bodycopy10pt"/>
    <w:rsid w:val="00866E32"/>
    <w:rPr>
      <w:rFonts w:ascii="Arial" w:eastAsia="MS Mincho" w:hAnsi="Arial" w:cs="Times New Roman"/>
      <w:sz w:val="20"/>
      <w:szCs w:val="24"/>
      <w:lang w:val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866E32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866E32"/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paragraph" w:customStyle="1" w:styleId="Tablecopybulleted">
    <w:name w:val="Table copy bulleted"/>
    <w:basedOn w:val="Normal"/>
    <w:qFormat/>
    <w:rsid w:val="004E19BE"/>
    <w:pPr>
      <w:keepLines/>
      <w:numPr>
        <w:numId w:val="3"/>
      </w:numPr>
      <w:spacing w:after="60" w:line="240" w:lineRule="auto"/>
      <w:textboxTightWrap w:val="allLines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Tablebodycopy">
    <w:name w:val="Table body copy"/>
    <w:basedOn w:val="1bodycopy10pt"/>
    <w:qFormat/>
    <w:rsid w:val="004E19BE"/>
    <w:pPr>
      <w:keepLines/>
      <w:spacing w:after="60"/>
      <w:textboxTightWrap w:val="allLines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8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354C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5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480"/>
  </w:style>
  <w:style w:type="paragraph" w:styleId="Footer">
    <w:name w:val="footer"/>
    <w:basedOn w:val="Normal"/>
    <w:link w:val="FooterChar"/>
    <w:uiPriority w:val="99"/>
    <w:unhideWhenUsed/>
    <w:rsid w:val="00B75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480"/>
  </w:style>
  <w:style w:type="character" w:styleId="FollowedHyperlink">
    <w:name w:val="FollowedHyperlink"/>
    <w:basedOn w:val="DefaultParagraphFont"/>
    <w:uiPriority w:val="99"/>
    <w:semiHidden/>
    <w:unhideWhenUsed/>
    <w:rsid w:val="0034390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responsibility-for-autumn-gcse-as-and-a-level-exam-series/public-health-arrangements-for-autumn-exam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jcq.org.uk/exams-office/ice---instructions-for-conducting-examin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tlp.org.uk/covid-1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tockgrn.bham.sch.uk/students/exa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ckgrn.bham.sch.uk/about/school-policies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Inscker (SET Head Office)</dc:creator>
  <cp:lastModifiedBy>Mandy Johnson</cp:lastModifiedBy>
  <cp:revision>13</cp:revision>
  <cp:lastPrinted>2019-12-05T14:31:00Z</cp:lastPrinted>
  <dcterms:created xsi:type="dcterms:W3CDTF">2021-09-13T11:01:00Z</dcterms:created>
  <dcterms:modified xsi:type="dcterms:W3CDTF">2021-10-22T09:03:00Z</dcterms:modified>
</cp:coreProperties>
</file>