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6D757897"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36009B">
              <w:rPr>
                <w:rFonts w:asciiTheme="majorHAnsi" w:hAnsiTheme="majorHAnsi" w:cs="Arial"/>
                <w:b/>
                <w:color w:val="000000" w:themeColor="text1"/>
                <w:sz w:val="28"/>
                <w:szCs w:val="28"/>
              </w:rPr>
              <w:t>1</w:t>
            </w:r>
            <w:r w:rsidR="00A258B6">
              <w:rPr>
                <w:rFonts w:asciiTheme="majorHAnsi" w:hAnsiTheme="majorHAnsi" w:cs="Arial"/>
                <w:b/>
                <w:color w:val="000000" w:themeColor="text1"/>
                <w:sz w:val="28"/>
                <w:szCs w:val="28"/>
              </w:rPr>
              <w:t>1</w:t>
            </w:r>
            <w:r w:rsidR="0036009B">
              <w:rPr>
                <w:rFonts w:asciiTheme="majorHAnsi" w:hAnsiTheme="majorHAnsi" w:cs="Arial"/>
                <w:b/>
                <w:color w:val="000000" w:themeColor="text1"/>
                <w:sz w:val="28"/>
                <w:szCs w:val="28"/>
              </w:rPr>
              <w:t xml:space="preserve"> </w:t>
            </w:r>
            <w:r w:rsidRPr="0014633F">
              <w:rPr>
                <w:rFonts w:asciiTheme="majorHAnsi" w:hAnsiTheme="majorHAnsi" w:cs="Arial"/>
                <w:b/>
                <w:color w:val="000000" w:themeColor="text1"/>
                <w:sz w:val="28"/>
                <w:szCs w:val="28"/>
              </w:rPr>
              <w:t>CURRICULUM MAP</w:t>
            </w:r>
            <w:r w:rsidR="0036009B">
              <w:rPr>
                <w:rFonts w:asciiTheme="majorHAnsi" w:hAnsiTheme="majorHAnsi" w:cs="Arial"/>
                <w:b/>
                <w:color w:val="000000" w:themeColor="text1"/>
                <w:sz w:val="28"/>
                <w:szCs w:val="28"/>
              </w:rPr>
              <w:t xml:space="preserve"> 2021-22</w:t>
            </w:r>
            <w:r w:rsidR="00E40919">
              <w:rPr>
                <w:rFonts w:asciiTheme="majorHAnsi" w:hAnsiTheme="majorHAnsi" w:cs="Arial"/>
                <w:b/>
                <w:color w:val="000000" w:themeColor="text1"/>
                <w:sz w:val="28"/>
                <w:szCs w:val="28"/>
              </w:rPr>
              <w:t xml:space="preserve">: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A150DB" w:rsidRPr="007B62A8" w14:paraId="391ABF80" w14:textId="77777777" w:rsidTr="00790E9D">
        <w:trPr>
          <w:trHeight w:val="7"/>
          <w:jc w:val="center"/>
        </w:trPr>
        <w:tc>
          <w:tcPr>
            <w:tcW w:w="1822" w:type="dxa"/>
            <w:shd w:val="clear" w:color="auto" w:fill="F2F2F2" w:themeFill="background1" w:themeFillShade="F2"/>
          </w:tcPr>
          <w:p w14:paraId="5ED9ABAC" w14:textId="77777777" w:rsidR="00A150DB" w:rsidRPr="007B62A8" w:rsidRDefault="00A150DB" w:rsidP="00A150DB">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77C7FD73" w14:textId="77777777" w:rsidR="00A150DB" w:rsidRPr="007B62A8"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4E531E3C" w14:textId="77777777" w:rsidR="00A150DB"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65BBCE91" w14:textId="77777777" w:rsidR="00A150DB" w:rsidRPr="00E63CF0" w:rsidRDefault="00A150DB" w:rsidP="00A150DB">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70F08AA8" w:rsidR="00A150DB" w:rsidRPr="00E63CF0" w:rsidRDefault="00A150DB" w:rsidP="00A150DB">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D500E0" w:rsidRPr="007B62A8" w14:paraId="0FC0B45B" w14:textId="77777777" w:rsidTr="007B62A8">
        <w:trPr>
          <w:trHeight w:val="7"/>
          <w:jc w:val="center"/>
        </w:trPr>
        <w:tc>
          <w:tcPr>
            <w:tcW w:w="1822" w:type="dxa"/>
            <w:shd w:val="clear" w:color="auto" w:fill="F2F2F2" w:themeFill="background1" w:themeFillShade="F2"/>
          </w:tcPr>
          <w:p w14:paraId="523175D4" w14:textId="1AAD2CE4" w:rsidR="00D500E0" w:rsidRPr="007B62A8" w:rsidRDefault="00D500E0" w:rsidP="00D500E0">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534D7A7C" w14:textId="1DC41C7F" w:rsidR="00D500E0" w:rsidRDefault="00D500E0" w:rsidP="00D500E0">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The Changing Economic World (Paper 2)</w:t>
            </w:r>
          </w:p>
          <w:p w14:paraId="5E60D903" w14:textId="77777777" w:rsidR="00D500E0" w:rsidRDefault="00D500E0" w:rsidP="00D500E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Understanding of inequality around the world. Students will explore the causes of unequal development, how this is measured and how the development gap can be closed (e.g. fair trade, aid, debt relief and tourism). </w:t>
            </w:r>
          </w:p>
          <w:p w14:paraId="44722C7E" w14:textId="77777777" w:rsidR="00D500E0" w:rsidRDefault="00D500E0" w:rsidP="00D500E0">
            <w:pPr>
              <w:pStyle w:val="NoSpacing"/>
              <w:rPr>
                <w:rFonts w:asciiTheme="majorHAnsi" w:hAnsiTheme="majorHAnsi" w:cstheme="majorHAnsi"/>
                <w:sz w:val="21"/>
                <w:szCs w:val="21"/>
                <w:lang w:eastAsia="en-GB"/>
              </w:rPr>
            </w:pPr>
          </w:p>
          <w:p w14:paraId="6B21C6E5" w14:textId="77777777" w:rsidR="00D500E0" w:rsidRDefault="00D500E0" w:rsidP="00D500E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Students will complete an in-depth study on Nigeria as an example of a NEE where they will look at Nigeria’s position in the wider world. They will consider the impact of TNC’s on Nigeria’s development as well as aid and how this has improved quality of life for people in Nigeria. </w:t>
            </w:r>
          </w:p>
          <w:p w14:paraId="09D83954" w14:textId="77777777" w:rsidR="00D500E0" w:rsidRDefault="00D500E0" w:rsidP="00D500E0">
            <w:pPr>
              <w:pStyle w:val="NoSpacing"/>
              <w:rPr>
                <w:rFonts w:asciiTheme="majorHAnsi" w:hAnsiTheme="majorHAnsi" w:cstheme="majorHAnsi"/>
                <w:sz w:val="21"/>
                <w:szCs w:val="21"/>
                <w:lang w:eastAsia="en-GB"/>
              </w:rPr>
            </w:pPr>
          </w:p>
          <w:p w14:paraId="471C01FD" w14:textId="77777777" w:rsidR="00D500E0" w:rsidRPr="008329D6" w:rsidRDefault="00D500E0" w:rsidP="00D500E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Study will focus on a UK perspective where regional differences will be explored through the north/south divide. Changes to the UK economy from a historical perspective will be explored before considering strategies to reduce this gap through HS2. The changing industrial structure e.g. the increase in science parks will be explored where students will concentrate on the opportunities this allows the UK from a global perspective. </w:t>
            </w:r>
          </w:p>
          <w:p w14:paraId="3D4F262D" w14:textId="77777777" w:rsidR="00D500E0" w:rsidRDefault="00D500E0" w:rsidP="00D500E0">
            <w:pPr>
              <w:pStyle w:val="NoSpacing"/>
              <w:rPr>
                <w:rFonts w:asciiTheme="majorHAnsi" w:hAnsiTheme="majorHAnsi" w:cstheme="majorHAnsi"/>
                <w:bCs/>
                <w:sz w:val="21"/>
                <w:szCs w:val="21"/>
                <w:lang w:eastAsia="en-GB"/>
              </w:rPr>
            </w:pPr>
          </w:p>
          <w:p w14:paraId="20785268" w14:textId="77777777" w:rsidR="00F4326C" w:rsidRDefault="00F4326C" w:rsidP="00F4326C">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 xml:space="preserve">Paper 3 – Geographical skills </w:t>
            </w:r>
          </w:p>
          <w:p w14:paraId="42FE3340" w14:textId="77777777" w:rsidR="00F4326C" w:rsidRDefault="00F4326C" w:rsidP="00F4326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Students will complete their physical fieldwork (rivers investigation to Carding Mill Valley) if this has not been completed in year 10. </w:t>
            </w:r>
          </w:p>
          <w:p w14:paraId="2D01056E" w14:textId="77777777" w:rsidR="00F4326C" w:rsidRDefault="00F4326C" w:rsidP="00F4326C">
            <w:pPr>
              <w:pStyle w:val="NoSpacing"/>
              <w:rPr>
                <w:rFonts w:asciiTheme="majorHAnsi" w:hAnsiTheme="majorHAnsi" w:cstheme="majorHAnsi"/>
                <w:bCs/>
                <w:sz w:val="21"/>
                <w:szCs w:val="21"/>
                <w:lang w:eastAsia="en-GB"/>
              </w:rPr>
            </w:pPr>
          </w:p>
          <w:p w14:paraId="1B3A0503" w14:textId="77777777" w:rsidR="00F4326C" w:rsidRDefault="00F4326C" w:rsidP="00F4326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lastRenderedPageBreak/>
              <w:t xml:space="preserve">They will spend time planning and preparing their investigation. They will carry out their investigation and once complete will analyse interpret and evaluate their fieldwork. </w:t>
            </w:r>
          </w:p>
          <w:p w14:paraId="1BDEF279" w14:textId="77777777" w:rsidR="00F4326C" w:rsidRDefault="00F4326C" w:rsidP="00F4326C">
            <w:pPr>
              <w:pStyle w:val="NoSpacing"/>
              <w:rPr>
                <w:rFonts w:asciiTheme="majorHAnsi" w:hAnsiTheme="majorHAnsi" w:cstheme="majorHAnsi"/>
                <w:bCs/>
                <w:sz w:val="21"/>
                <w:szCs w:val="21"/>
                <w:lang w:eastAsia="en-GB"/>
              </w:rPr>
            </w:pPr>
          </w:p>
          <w:p w14:paraId="5308D024" w14:textId="77777777" w:rsidR="00F4326C" w:rsidRDefault="00F4326C" w:rsidP="00F4326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Students will practice key geographical skills for fieldwork in order to work towards the first half of section B (for paper 3). They will complete a walking talking mock before completing a full assessment for this half of the paper. </w:t>
            </w:r>
          </w:p>
          <w:p w14:paraId="1425DA29" w14:textId="77777777" w:rsidR="00F4326C" w:rsidRDefault="00F4326C" w:rsidP="00F4326C">
            <w:pPr>
              <w:pStyle w:val="NoSpacing"/>
              <w:rPr>
                <w:rFonts w:asciiTheme="majorHAnsi" w:hAnsiTheme="majorHAnsi" w:cstheme="majorHAnsi"/>
                <w:bCs/>
                <w:sz w:val="21"/>
                <w:szCs w:val="21"/>
                <w:lang w:eastAsia="en-GB"/>
              </w:rPr>
            </w:pPr>
          </w:p>
          <w:p w14:paraId="0B2F0BA6" w14:textId="77777777" w:rsidR="00F4326C" w:rsidRDefault="00F4326C" w:rsidP="00F4326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Students will then plan and complete their urban fieldwork to Brindley Place to look at re-development in the city centre. They will as before evaluating this investigation and complete exam preparation ready for paper 3.</w:t>
            </w:r>
          </w:p>
          <w:p w14:paraId="099DC40D" w14:textId="6E3689BE" w:rsidR="00F4326C" w:rsidRPr="00374928" w:rsidRDefault="00F4326C" w:rsidP="00D500E0">
            <w:pPr>
              <w:pStyle w:val="NoSpacing"/>
              <w:rPr>
                <w:rFonts w:asciiTheme="majorHAnsi" w:hAnsiTheme="majorHAnsi" w:cstheme="majorHAnsi"/>
                <w:bCs/>
                <w:sz w:val="21"/>
                <w:szCs w:val="21"/>
                <w:lang w:eastAsia="en-GB"/>
              </w:rPr>
            </w:pPr>
          </w:p>
        </w:tc>
        <w:tc>
          <w:tcPr>
            <w:tcW w:w="4262" w:type="dxa"/>
          </w:tcPr>
          <w:p w14:paraId="2DB3777B" w14:textId="77777777" w:rsidR="00D500E0" w:rsidRDefault="00F4326C" w:rsidP="00F4326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lastRenderedPageBreak/>
              <w:t>Paper 1 revision</w:t>
            </w:r>
          </w:p>
          <w:p w14:paraId="300FF544" w14:textId="77777777" w:rsidR="00F4326C" w:rsidRDefault="00F4326C" w:rsidP="00F4326C">
            <w:pPr>
              <w:pStyle w:val="NoSpacing"/>
              <w:numPr>
                <w:ilvl w:val="0"/>
                <w:numId w:val="17"/>
              </w:numPr>
              <w:rPr>
                <w:rFonts w:asciiTheme="majorHAnsi" w:hAnsiTheme="majorHAnsi" w:cstheme="majorHAnsi"/>
                <w:sz w:val="21"/>
                <w:szCs w:val="21"/>
                <w:lang w:eastAsia="en-GB"/>
              </w:rPr>
            </w:pPr>
            <w:r>
              <w:rPr>
                <w:rFonts w:asciiTheme="majorHAnsi" w:hAnsiTheme="majorHAnsi" w:cstheme="majorHAnsi"/>
                <w:sz w:val="21"/>
                <w:szCs w:val="21"/>
                <w:lang w:eastAsia="en-GB"/>
              </w:rPr>
              <w:t>Section A: Natural hazards</w:t>
            </w:r>
          </w:p>
          <w:p w14:paraId="5414A519" w14:textId="77777777" w:rsidR="00F4326C" w:rsidRDefault="00F4326C" w:rsidP="00F4326C">
            <w:pPr>
              <w:pStyle w:val="NoSpacing"/>
              <w:numPr>
                <w:ilvl w:val="0"/>
                <w:numId w:val="17"/>
              </w:numPr>
              <w:rPr>
                <w:rFonts w:asciiTheme="majorHAnsi" w:hAnsiTheme="majorHAnsi" w:cstheme="majorHAnsi"/>
                <w:sz w:val="21"/>
                <w:szCs w:val="21"/>
                <w:lang w:eastAsia="en-GB"/>
              </w:rPr>
            </w:pPr>
            <w:r>
              <w:rPr>
                <w:rFonts w:asciiTheme="majorHAnsi" w:hAnsiTheme="majorHAnsi" w:cstheme="majorHAnsi"/>
                <w:sz w:val="21"/>
                <w:szCs w:val="21"/>
                <w:lang w:eastAsia="en-GB"/>
              </w:rPr>
              <w:t>Section B: The living world</w:t>
            </w:r>
          </w:p>
          <w:p w14:paraId="695CCE7B" w14:textId="140FBB91" w:rsidR="00F4326C" w:rsidRPr="00F4326C" w:rsidRDefault="00F4326C" w:rsidP="00F4326C">
            <w:pPr>
              <w:pStyle w:val="NoSpacing"/>
              <w:numPr>
                <w:ilvl w:val="0"/>
                <w:numId w:val="17"/>
              </w:numPr>
              <w:rPr>
                <w:rFonts w:asciiTheme="majorHAnsi" w:hAnsiTheme="majorHAnsi" w:cstheme="majorHAnsi"/>
                <w:sz w:val="21"/>
                <w:szCs w:val="21"/>
                <w:lang w:eastAsia="en-GB"/>
              </w:rPr>
            </w:pPr>
            <w:r>
              <w:rPr>
                <w:rFonts w:asciiTheme="majorHAnsi" w:hAnsiTheme="majorHAnsi" w:cstheme="majorHAnsi"/>
                <w:sz w:val="21"/>
                <w:szCs w:val="21"/>
                <w:lang w:eastAsia="en-GB"/>
              </w:rPr>
              <w:t>Section C: UK Landscapes (rivers and coasts)</w:t>
            </w:r>
          </w:p>
        </w:tc>
        <w:tc>
          <w:tcPr>
            <w:tcW w:w="4263" w:type="dxa"/>
          </w:tcPr>
          <w:p w14:paraId="5A87331D" w14:textId="6F21CF82" w:rsidR="00D500E0" w:rsidRPr="00D500E0" w:rsidRDefault="00D500E0" w:rsidP="00D500E0">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 xml:space="preserve">Revision for Paper 1, 2 &amp;3 as required by students. </w:t>
            </w:r>
          </w:p>
        </w:tc>
      </w:tr>
      <w:tr w:rsidR="00D500E0" w:rsidRPr="007B62A8" w14:paraId="47E7163C" w14:textId="77777777" w:rsidTr="007B62A8">
        <w:trPr>
          <w:trHeight w:val="1"/>
          <w:jc w:val="center"/>
        </w:trPr>
        <w:tc>
          <w:tcPr>
            <w:tcW w:w="1822" w:type="dxa"/>
            <w:shd w:val="clear" w:color="auto" w:fill="F2F2F2" w:themeFill="background1" w:themeFillShade="F2"/>
          </w:tcPr>
          <w:p w14:paraId="6ED3D236" w14:textId="40FD3540"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682A71D0" w14:textId="77777777" w:rsidR="00D500E0"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Knowledge audit – Nigieria/TNC’s and PEQ</w:t>
            </w:r>
          </w:p>
          <w:p w14:paraId="161B6F2C" w14:textId="3F5D23EF" w:rsidR="00D500E0" w:rsidRPr="007B62A8"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B/25)</w:t>
            </w:r>
          </w:p>
        </w:tc>
        <w:tc>
          <w:tcPr>
            <w:tcW w:w="4262" w:type="dxa"/>
            <w:vAlign w:val="center"/>
          </w:tcPr>
          <w:p w14:paraId="02C50665" w14:textId="77777777" w:rsidR="00D500E0"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1 section C/30)</w:t>
            </w:r>
          </w:p>
          <w:p w14:paraId="385E34BB" w14:textId="044E079C" w:rsidR="00D500E0" w:rsidRPr="007B62A8"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C/30)</w:t>
            </w:r>
          </w:p>
        </w:tc>
        <w:tc>
          <w:tcPr>
            <w:tcW w:w="4263" w:type="dxa"/>
            <w:vAlign w:val="center"/>
          </w:tcPr>
          <w:p w14:paraId="726FB4EB" w14:textId="77777777" w:rsidR="00D500E0"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Urban world </w:t>
            </w:r>
          </w:p>
          <w:p w14:paraId="6F87CD97" w14:textId="427C84A5" w:rsidR="00D500E0" w:rsidRPr="007B62A8" w:rsidRDefault="00D500E0" w:rsidP="00D500E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A /33)</w:t>
            </w:r>
          </w:p>
        </w:tc>
      </w:tr>
      <w:tr w:rsidR="00D500E0" w:rsidRPr="007B62A8" w14:paraId="6F397BD5" w14:textId="77777777" w:rsidTr="007B62A8">
        <w:trPr>
          <w:trHeight w:val="70"/>
          <w:jc w:val="center"/>
        </w:trPr>
        <w:tc>
          <w:tcPr>
            <w:tcW w:w="1822" w:type="dxa"/>
            <w:shd w:val="clear" w:color="auto" w:fill="F2F2F2" w:themeFill="background1" w:themeFillShade="F2"/>
          </w:tcPr>
          <w:p w14:paraId="074CE9B8" w14:textId="372D2432" w:rsidR="00D500E0" w:rsidRPr="007B62A8" w:rsidRDefault="00D500E0" w:rsidP="00D500E0">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D500E0" w:rsidRPr="007B62A8" w:rsidRDefault="00D500E0" w:rsidP="00D500E0">
            <w:pPr>
              <w:rPr>
                <w:rFonts w:asciiTheme="majorHAnsi" w:hAnsiTheme="majorHAnsi" w:cs="Arial"/>
                <w:b/>
                <w:sz w:val="21"/>
                <w:szCs w:val="21"/>
              </w:rPr>
            </w:pPr>
          </w:p>
        </w:tc>
        <w:tc>
          <w:tcPr>
            <w:tcW w:w="4262" w:type="dxa"/>
            <w:shd w:val="clear" w:color="auto" w:fill="auto"/>
          </w:tcPr>
          <w:p w14:paraId="1AB5603C" w14:textId="77777777" w:rsidR="00D500E0" w:rsidRDefault="00D500E0" w:rsidP="00D500E0">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International development careers e.g. aid work </w:t>
            </w:r>
          </w:p>
          <w:p w14:paraId="39EE4E4A" w14:textId="3B398ECD" w:rsidR="00D500E0" w:rsidRPr="001405E5" w:rsidRDefault="00D500E0" w:rsidP="00D500E0">
            <w:pPr>
              <w:pStyle w:val="ListParagraph"/>
              <w:numPr>
                <w:ilvl w:val="0"/>
                <w:numId w:val="14"/>
              </w:numPr>
              <w:rPr>
                <w:rFonts w:asciiTheme="majorHAnsi" w:hAnsiTheme="majorHAnsi" w:cs="Arial"/>
                <w:bCs/>
                <w:sz w:val="21"/>
                <w:szCs w:val="21"/>
              </w:rPr>
            </w:pPr>
            <w:r w:rsidRPr="00B3083D">
              <w:rPr>
                <w:rFonts w:asciiTheme="majorHAnsi" w:hAnsiTheme="majorHAnsi" w:cs="Arial"/>
                <w:bCs/>
                <w:sz w:val="21"/>
                <w:szCs w:val="21"/>
              </w:rPr>
              <w:t xml:space="preserve">Careers </w:t>
            </w:r>
            <w:r>
              <w:rPr>
                <w:rFonts w:asciiTheme="majorHAnsi" w:hAnsiTheme="majorHAnsi" w:cs="Arial"/>
                <w:bCs/>
                <w:sz w:val="21"/>
                <w:szCs w:val="21"/>
              </w:rPr>
              <w:t xml:space="preserve">with </w:t>
            </w:r>
            <w:r w:rsidRPr="00B3083D">
              <w:rPr>
                <w:rFonts w:asciiTheme="majorHAnsi" w:hAnsiTheme="majorHAnsi" w:cs="Arial"/>
                <w:bCs/>
                <w:sz w:val="21"/>
                <w:szCs w:val="21"/>
              </w:rPr>
              <w:t>HS2</w:t>
            </w:r>
            <w:r>
              <w:rPr>
                <w:rFonts w:asciiTheme="majorHAnsi" w:hAnsiTheme="majorHAnsi" w:cs="Arial"/>
                <w:bCs/>
                <w:sz w:val="21"/>
                <w:szCs w:val="21"/>
              </w:rPr>
              <w:t xml:space="preserve"> and wider transport sectors e.g. aviation industry, cross rail.</w:t>
            </w:r>
          </w:p>
        </w:tc>
        <w:tc>
          <w:tcPr>
            <w:tcW w:w="4262" w:type="dxa"/>
            <w:shd w:val="clear" w:color="auto" w:fill="auto"/>
          </w:tcPr>
          <w:p w14:paraId="09102736" w14:textId="77777777" w:rsidR="00D500E0" w:rsidRDefault="00D500E0" w:rsidP="00D500E0">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Working for the environment agency to conserve the UK’s coastal regions and river management schemes. </w:t>
            </w:r>
          </w:p>
          <w:p w14:paraId="063E34E5" w14:textId="09D0D717" w:rsidR="00D500E0" w:rsidRPr="001405E5" w:rsidRDefault="00D500E0" w:rsidP="00D500E0">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Links to careers within energy supply and future sustainability. </w:t>
            </w:r>
          </w:p>
        </w:tc>
        <w:tc>
          <w:tcPr>
            <w:tcW w:w="4263" w:type="dxa"/>
            <w:shd w:val="clear" w:color="auto" w:fill="auto"/>
          </w:tcPr>
          <w:p w14:paraId="40459EFD" w14:textId="77777777" w:rsidR="00D500E0" w:rsidRPr="00DF5968" w:rsidRDefault="00D500E0" w:rsidP="00D500E0">
            <w:pPr>
              <w:rPr>
                <w:rFonts w:asciiTheme="majorHAnsi" w:hAnsiTheme="majorHAnsi" w:cs="Arial"/>
                <w:bCs/>
                <w:sz w:val="21"/>
                <w:szCs w:val="21"/>
              </w:rPr>
            </w:pPr>
            <w:r>
              <w:rPr>
                <w:rFonts w:asciiTheme="majorHAnsi" w:hAnsiTheme="majorHAnsi" w:cs="Arial"/>
                <w:bCs/>
                <w:sz w:val="21"/>
                <w:szCs w:val="21"/>
              </w:rPr>
              <w:t xml:space="preserve">Careers here link largely to universities e.g. PHD research, undergrad dissertation research and government funded research projects. </w:t>
            </w:r>
          </w:p>
          <w:p w14:paraId="3E44C4AA" w14:textId="515FF2A4" w:rsidR="00D500E0" w:rsidRPr="00D500E0" w:rsidRDefault="00D500E0" w:rsidP="00D500E0">
            <w:pPr>
              <w:rPr>
                <w:rFonts w:asciiTheme="majorHAnsi" w:hAnsiTheme="majorHAnsi" w:cs="Arial"/>
                <w:bCs/>
                <w:sz w:val="21"/>
                <w:szCs w:val="21"/>
              </w:rPr>
            </w:pPr>
          </w:p>
        </w:tc>
      </w:tr>
      <w:tr w:rsidR="00D500E0" w:rsidRPr="007B62A8" w14:paraId="7D4A04F1" w14:textId="77777777" w:rsidTr="007B62A8">
        <w:trPr>
          <w:trHeight w:val="70"/>
          <w:jc w:val="center"/>
        </w:trPr>
        <w:tc>
          <w:tcPr>
            <w:tcW w:w="1822" w:type="dxa"/>
            <w:shd w:val="clear" w:color="auto" w:fill="F2F2F2" w:themeFill="background1" w:themeFillShade="F2"/>
          </w:tcPr>
          <w:p w14:paraId="56778179" w14:textId="791687AF"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0BF9BC58" w14:textId="77777777" w:rsidR="00D500E0" w:rsidRDefault="00D500E0" w:rsidP="00D500E0">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6BB3A3D"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28: Right to education</w:t>
            </w:r>
          </w:p>
          <w:p w14:paraId="57B5E776"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29: Goals of education</w:t>
            </w:r>
          </w:p>
          <w:p w14:paraId="41AEE4BF" w14:textId="787D87A2" w:rsidR="00D500E0" w:rsidRPr="00571715" w:rsidRDefault="00D500E0" w:rsidP="00D500E0">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2" w:type="dxa"/>
            <w:tcBorders>
              <w:bottom w:val="single" w:sz="4" w:space="0" w:color="auto"/>
            </w:tcBorders>
          </w:tcPr>
          <w:p w14:paraId="55613602" w14:textId="77777777" w:rsidR="00D500E0" w:rsidRDefault="00D500E0" w:rsidP="00D500E0">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D61DAF9"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28: Right to education</w:t>
            </w:r>
          </w:p>
          <w:p w14:paraId="7E1A39AD"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29: Goals of education</w:t>
            </w:r>
          </w:p>
          <w:p w14:paraId="6D8A5730" w14:textId="4F239D07" w:rsidR="00D500E0" w:rsidRPr="00571715" w:rsidRDefault="00D500E0" w:rsidP="00D500E0">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3" w:type="dxa"/>
          </w:tcPr>
          <w:p w14:paraId="5E0ACB38"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28: Right to education</w:t>
            </w:r>
          </w:p>
          <w:p w14:paraId="5F231502" w14:textId="77777777" w:rsidR="00D500E0" w:rsidRDefault="00D500E0" w:rsidP="00D500E0">
            <w:pPr>
              <w:rPr>
                <w:rFonts w:asciiTheme="majorHAnsi" w:hAnsiTheme="majorHAnsi" w:cs="Arial"/>
                <w:sz w:val="18"/>
                <w:szCs w:val="18"/>
              </w:rPr>
            </w:pPr>
            <w:r>
              <w:rPr>
                <w:rFonts w:asciiTheme="majorHAnsi" w:hAnsiTheme="majorHAnsi" w:cs="Arial"/>
                <w:sz w:val="18"/>
                <w:szCs w:val="18"/>
              </w:rPr>
              <w:t>Article 29: Goals of education</w:t>
            </w:r>
          </w:p>
          <w:p w14:paraId="6F3FCA8A" w14:textId="5FE9DC9E" w:rsidR="00D500E0" w:rsidRPr="00571715" w:rsidRDefault="00D500E0" w:rsidP="00D500E0">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D500E0" w:rsidRPr="007B62A8" w14:paraId="47C9B9F0" w14:textId="77777777" w:rsidTr="007B62A8">
        <w:trPr>
          <w:trHeight w:val="70"/>
          <w:jc w:val="center"/>
        </w:trPr>
        <w:tc>
          <w:tcPr>
            <w:tcW w:w="1822" w:type="dxa"/>
            <w:shd w:val="clear" w:color="auto" w:fill="F2F2F2" w:themeFill="background1" w:themeFillShade="F2"/>
          </w:tcPr>
          <w:p w14:paraId="0B507E90" w14:textId="77777777"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D500E0" w:rsidRPr="007B62A8" w:rsidRDefault="00D500E0" w:rsidP="00D500E0">
            <w:pPr>
              <w:rPr>
                <w:rFonts w:asciiTheme="majorHAnsi" w:hAnsiTheme="majorHAnsi" w:cs="Arial"/>
                <w:b/>
                <w:sz w:val="21"/>
                <w:szCs w:val="21"/>
              </w:rPr>
            </w:pPr>
          </w:p>
        </w:tc>
        <w:tc>
          <w:tcPr>
            <w:tcW w:w="4262" w:type="dxa"/>
          </w:tcPr>
          <w:p w14:paraId="4EBF1517" w14:textId="77777777" w:rsidR="00D500E0" w:rsidRDefault="00D500E0" w:rsidP="00D500E0">
            <w:pPr>
              <w:rPr>
                <w:rFonts w:asciiTheme="majorHAnsi" w:hAnsiTheme="majorHAnsi" w:cs="Arial"/>
                <w:sz w:val="21"/>
                <w:szCs w:val="21"/>
              </w:rPr>
            </w:pPr>
            <w:r>
              <w:rPr>
                <w:rFonts w:asciiTheme="majorHAnsi" w:hAnsiTheme="majorHAnsi" w:cs="Arial"/>
                <w:sz w:val="21"/>
                <w:szCs w:val="21"/>
              </w:rPr>
              <w:t xml:space="preserve">History – historical context of global development and links to the British industrial revolution. Impact of colonialisation on the current world. </w:t>
            </w:r>
          </w:p>
          <w:p w14:paraId="5D8D19A0" w14:textId="1398FE82" w:rsidR="00D500E0" w:rsidRPr="007B62A8" w:rsidRDefault="00D500E0" w:rsidP="00D500E0">
            <w:pPr>
              <w:rPr>
                <w:rFonts w:asciiTheme="majorHAnsi" w:hAnsiTheme="majorHAnsi" w:cs="Arial"/>
                <w:sz w:val="21"/>
                <w:szCs w:val="21"/>
              </w:rPr>
            </w:pPr>
            <w:r>
              <w:rPr>
                <w:rFonts w:asciiTheme="majorHAnsi" w:hAnsiTheme="majorHAnsi" w:cs="Arial"/>
                <w:sz w:val="21"/>
                <w:szCs w:val="21"/>
              </w:rPr>
              <w:t>Maths – graph work through looking at industrial structure of Nigeria past and present</w:t>
            </w:r>
          </w:p>
        </w:tc>
        <w:tc>
          <w:tcPr>
            <w:tcW w:w="4262" w:type="dxa"/>
            <w:tcBorders>
              <w:bottom w:val="single" w:sz="4" w:space="0" w:color="auto"/>
            </w:tcBorders>
          </w:tcPr>
          <w:p w14:paraId="6795D962" w14:textId="77777777" w:rsidR="00D500E0" w:rsidRDefault="00D500E0" w:rsidP="00D500E0">
            <w:pPr>
              <w:rPr>
                <w:rFonts w:asciiTheme="majorHAnsi" w:hAnsiTheme="majorHAnsi" w:cs="Arial"/>
                <w:sz w:val="21"/>
                <w:szCs w:val="21"/>
              </w:rPr>
            </w:pPr>
            <w:r>
              <w:rPr>
                <w:rFonts w:asciiTheme="majorHAnsi" w:hAnsiTheme="majorHAnsi" w:cs="Arial"/>
                <w:sz w:val="21"/>
                <w:szCs w:val="21"/>
              </w:rPr>
              <w:t xml:space="preserve">Maths – climate graphs </w:t>
            </w:r>
          </w:p>
          <w:p w14:paraId="7AC16F4C" w14:textId="77777777" w:rsidR="00D500E0" w:rsidRDefault="00D500E0" w:rsidP="00D500E0">
            <w:pPr>
              <w:rPr>
                <w:rFonts w:asciiTheme="majorHAnsi" w:hAnsiTheme="majorHAnsi" w:cs="Arial"/>
                <w:sz w:val="21"/>
                <w:szCs w:val="21"/>
              </w:rPr>
            </w:pPr>
            <w:r>
              <w:rPr>
                <w:rFonts w:asciiTheme="majorHAnsi" w:hAnsiTheme="majorHAnsi" w:cs="Arial"/>
                <w:sz w:val="21"/>
                <w:szCs w:val="21"/>
              </w:rPr>
              <w:t>Literacy – comprehension of text e.g. impacts of deforestation</w:t>
            </w:r>
          </w:p>
          <w:p w14:paraId="69D7A99F" w14:textId="77777777" w:rsidR="00D500E0" w:rsidRDefault="00D500E0" w:rsidP="00D500E0">
            <w:pPr>
              <w:rPr>
                <w:rFonts w:asciiTheme="majorHAnsi" w:hAnsiTheme="majorHAnsi" w:cs="Arial"/>
                <w:sz w:val="21"/>
                <w:szCs w:val="21"/>
              </w:rPr>
            </w:pPr>
            <w:r>
              <w:rPr>
                <w:rFonts w:asciiTheme="majorHAnsi" w:hAnsiTheme="majorHAnsi" w:cs="Arial"/>
                <w:sz w:val="21"/>
                <w:szCs w:val="21"/>
              </w:rPr>
              <w:t>Science – animal adaptation, sustainability and global biomes</w:t>
            </w:r>
          </w:p>
          <w:p w14:paraId="11933213" w14:textId="77777777" w:rsidR="00D500E0" w:rsidRDefault="00D500E0" w:rsidP="00D500E0">
            <w:pPr>
              <w:rPr>
                <w:rFonts w:asciiTheme="majorHAnsi" w:hAnsiTheme="majorHAnsi" w:cs="Arial"/>
                <w:sz w:val="21"/>
                <w:szCs w:val="21"/>
              </w:rPr>
            </w:pPr>
            <w:r>
              <w:rPr>
                <w:rFonts w:asciiTheme="majorHAnsi" w:hAnsiTheme="majorHAnsi" w:cs="Arial"/>
                <w:sz w:val="21"/>
                <w:szCs w:val="21"/>
              </w:rPr>
              <w:t>Technology – the use of rainforests for raw materials e.g. logging for wood as a useful resource</w:t>
            </w:r>
          </w:p>
          <w:p w14:paraId="091CE692" w14:textId="0E9AE6D3" w:rsidR="00D500E0" w:rsidRPr="007B62A8" w:rsidRDefault="00D500E0" w:rsidP="00D500E0">
            <w:pPr>
              <w:rPr>
                <w:rFonts w:asciiTheme="majorHAnsi" w:hAnsiTheme="majorHAnsi" w:cs="Arial"/>
                <w:sz w:val="21"/>
                <w:szCs w:val="21"/>
              </w:rPr>
            </w:pPr>
          </w:p>
        </w:tc>
        <w:tc>
          <w:tcPr>
            <w:tcW w:w="4263" w:type="dxa"/>
          </w:tcPr>
          <w:p w14:paraId="77CBF083" w14:textId="77777777" w:rsidR="00D500E0" w:rsidRDefault="00D500E0" w:rsidP="00D500E0">
            <w:pPr>
              <w:rPr>
                <w:rFonts w:asciiTheme="majorHAnsi" w:hAnsiTheme="majorHAnsi" w:cs="Arial"/>
                <w:sz w:val="21"/>
                <w:szCs w:val="21"/>
              </w:rPr>
            </w:pPr>
            <w:r>
              <w:rPr>
                <w:rFonts w:asciiTheme="majorHAnsi" w:hAnsiTheme="majorHAnsi" w:cs="Arial"/>
                <w:sz w:val="21"/>
                <w:szCs w:val="21"/>
              </w:rPr>
              <w:t xml:space="preserve">Maths – geographical skills to include: </w:t>
            </w:r>
          </w:p>
          <w:p w14:paraId="65D6CAE6" w14:textId="77777777" w:rsidR="00D500E0" w:rsidRDefault="00D500E0" w:rsidP="00D500E0">
            <w:pPr>
              <w:pStyle w:val="ListParagraph"/>
              <w:numPr>
                <w:ilvl w:val="0"/>
                <w:numId w:val="16"/>
              </w:numPr>
              <w:rPr>
                <w:rFonts w:asciiTheme="majorHAnsi" w:hAnsiTheme="majorHAnsi" w:cs="Arial"/>
                <w:sz w:val="21"/>
                <w:szCs w:val="21"/>
              </w:rPr>
            </w:pPr>
            <w:r>
              <w:rPr>
                <w:rFonts w:asciiTheme="majorHAnsi" w:hAnsiTheme="majorHAnsi" w:cs="Arial"/>
                <w:sz w:val="21"/>
                <w:szCs w:val="21"/>
              </w:rPr>
              <w:t xml:space="preserve">Graphical skills (drawing, completing and interpreting) </w:t>
            </w:r>
          </w:p>
          <w:p w14:paraId="7C32B663" w14:textId="77777777" w:rsidR="00D500E0" w:rsidRDefault="00D500E0" w:rsidP="00D500E0">
            <w:pPr>
              <w:pStyle w:val="ListParagraph"/>
              <w:numPr>
                <w:ilvl w:val="0"/>
                <w:numId w:val="16"/>
              </w:numPr>
              <w:rPr>
                <w:rFonts w:asciiTheme="majorHAnsi" w:hAnsiTheme="majorHAnsi" w:cs="Arial"/>
                <w:sz w:val="21"/>
                <w:szCs w:val="21"/>
              </w:rPr>
            </w:pPr>
            <w:r>
              <w:rPr>
                <w:rFonts w:asciiTheme="majorHAnsi" w:hAnsiTheme="majorHAnsi" w:cs="Arial"/>
                <w:sz w:val="21"/>
                <w:szCs w:val="21"/>
              </w:rPr>
              <w:t xml:space="preserve">Statistical skills (mean, median, mode, range, inter-quartile range) </w:t>
            </w:r>
          </w:p>
          <w:p w14:paraId="408BF631" w14:textId="77777777" w:rsidR="00D500E0" w:rsidRDefault="00D500E0" w:rsidP="00D500E0">
            <w:pPr>
              <w:pStyle w:val="ListParagraph"/>
              <w:numPr>
                <w:ilvl w:val="0"/>
                <w:numId w:val="16"/>
              </w:numPr>
              <w:rPr>
                <w:rFonts w:asciiTheme="majorHAnsi" w:hAnsiTheme="majorHAnsi" w:cs="Arial"/>
                <w:sz w:val="21"/>
                <w:szCs w:val="21"/>
              </w:rPr>
            </w:pPr>
            <w:r>
              <w:rPr>
                <w:rFonts w:asciiTheme="majorHAnsi" w:hAnsiTheme="majorHAnsi" w:cs="Arial"/>
                <w:sz w:val="21"/>
                <w:szCs w:val="21"/>
              </w:rPr>
              <w:t>Cartographic techniques</w:t>
            </w:r>
          </w:p>
          <w:p w14:paraId="547083F3" w14:textId="77777777" w:rsidR="00D500E0" w:rsidRDefault="00D500E0" w:rsidP="00D500E0">
            <w:pPr>
              <w:pStyle w:val="ListParagraph"/>
              <w:rPr>
                <w:rFonts w:asciiTheme="majorHAnsi" w:hAnsiTheme="majorHAnsi" w:cs="Arial"/>
                <w:sz w:val="21"/>
                <w:szCs w:val="21"/>
              </w:rPr>
            </w:pPr>
          </w:p>
          <w:p w14:paraId="7B82EC6C" w14:textId="77777777" w:rsidR="00D500E0" w:rsidRDefault="00D500E0" w:rsidP="00D500E0">
            <w:pPr>
              <w:rPr>
                <w:rFonts w:asciiTheme="majorHAnsi" w:hAnsiTheme="majorHAnsi" w:cs="Arial"/>
                <w:sz w:val="21"/>
                <w:szCs w:val="21"/>
              </w:rPr>
            </w:pPr>
            <w:r>
              <w:rPr>
                <w:rFonts w:asciiTheme="majorHAnsi" w:hAnsiTheme="majorHAnsi" w:cs="Arial"/>
                <w:sz w:val="21"/>
                <w:szCs w:val="21"/>
              </w:rPr>
              <w:t>Technology – evaluating of investigation/investigation design</w:t>
            </w:r>
          </w:p>
          <w:p w14:paraId="68B4E1B2" w14:textId="77777777" w:rsidR="00D500E0" w:rsidRDefault="00D500E0" w:rsidP="00D500E0">
            <w:pPr>
              <w:rPr>
                <w:rFonts w:asciiTheme="majorHAnsi" w:hAnsiTheme="majorHAnsi" w:cs="Arial"/>
                <w:sz w:val="21"/>
                <w:szCs w:val="21"/>
              </w:rPr>
            </w:pPr>
          </w:p>
          <w:p w14:paraId="3001954F" w14:textId="7E434A3E" w:rsidR="00D500E0" w:rsidRPr="007B62A8" w:rsidRDefault="00D500E0" w:rsidP="00D500E0">
            <w:pPr>
              <w:rPr>
                <w:rFonts w:asciiTheme="majorHAnsi" w:hAnsiTheme="majorHAnsi" w:cs="Arial"/>
                <w:sz w:val="21"/>
                <w:szCs w:val="21"/>
              </w:rPr>
            </w:pPr>
            <w:r>
              <w:rPr>
                <w:rFonts w:asciiTheme="majorHAnsi" w:hAnsiTheme="majorHAnsi" w:cs="Arial"/>
                <w:sz w:val="21"/>
                <w:szCs w:val="21"/>
              </w:rPr>
              <w:t>Computing – typing and analysing of results using computer software and GIS</w:t>
            </w:r>
          </w:p>
        </w:tc>
      </w:tr>
      <w:tr w:rsidR="00D500E0" w:rsidRPr="007B62A8" w14:paraId="11C16471" w14:textId="77777777" w:rsidTr="007B62A8">
        <w:trPr>
          <w:trHeight w:val="70"/>
          <w:jc w:val="center"/>
        </w:trPr>
        <w:tc>
          <w:tcPr>
            <w:tcW w:w="1822" w:type="dxa"/>
            <w:shd w:val="clear" w:color="auto" w:fill="F2F2F2" w:themeFill="background1" w:themeFillShade="F2"/>
          </w:tcPr>
          <w:p w14:paraId="20EEF58B" w14:textId="1F76BBF7"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lastRenderedPageBreak/>
              <w:t xml:space="preserve">Literacy   Programme </w:t>
            </w:r>
          </w:p>
        </w:tc>
        <w:tc>
          <w:tcPr>
            <w:tcW w:w="4262" w:type="dxa"/>
            <w:tcBorders>
              <w:right w:val="nil"/>
            </w:tcBorders>
          </w:tcPr>
          <w:p w14:paraId="7A57FAD2" w14:textId="77777777" w:rsidR="00D500E0" w:rsidRDefault="00D500E0" w:rsidP="00D500E0">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Use of news paper articles </w:t>
            </w:r>
          </w:p>
          <w:p w14:paraId="07DE2CF4" w14:textId="20459FC7" w:rsidR="00D500E0" w:rsidRPr="00343C48" w:rsidRDefault="00D500E0" w:rsidP="00D500E0">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Blogs </w:t>
            </w:r>
          </w:p>
        </w:tc>
        <w:tc>
          <w:tcPr>
            <w:tcW w:w="4262" w:type="dxa"/>
            <w:tcBorders>
              <w:left w:val="nil"/>
              <w:right w:val="nil"/>
            </w:tcBorders>
          </w:tcPr>
          <w:p w14:paraId="29D44F75" w14:textId="537EA181" w:rsidR="00D500E0" w:rsidRPr="00D5625E" w:rsidRDefault="00D500E0" w:rsidP="00D500E0">
            <w:pPr>
              <w:pStyle w:val="ListParagraph"/>
              <w:numPr>
                <w:ilvl w:val="0"/>
                <w:numId w:val="12"/>
              </w:numPr>
              <w:rPr>
                <w:rFonts w:asciiTheme="majorHAnsi" w:hAnsiTheme="majorHAnsi" w:cs="Arial"/>
                <w:sz w:val="21"/>
                <w:szCs w:val="21"/>
              </w:rPr>
            </w:pPr>
            <w:r>
              <w:rPr>
                <w:rFonts w:asciiTheme="majorHAnsi" w:hAnsiTheme="majorHAnsi" w:cs="Arial"/>
                <w:sz w:val="21"/>
                <w:szCs w:val="21"/>
              </w:rPr>
              <w:t>Use of news paper articles and coverage of global natural disasters</w:t>
            </w:r>
          </w:p>
        </w:tc>
        <w:tc>
          <w:tcPr>
            <w:tcW w:w="4263" w:type="dxa"/>
            <w:tcBorders>
              <w:left w:val="nil"/>
            </w:tcBorders>
          </w:tcPr>
          <w:p w14:paraId="5C06F3BC" w14:textId="504582EC" w:rsidR="00D500E0" w:rsidRPr="007B62A8" w:rsidRDefault="00D500E0" w:rsidP="00D500E0">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Reading of flood management schemes and documents written by local governments </w:t>
            </w:r>
          </w:p>
        </w:tc>
      </w:tr>
      <w:tr w:rsidR="00D500E0" w:rsidRPr="007B62A8" w14:paraId="59CB3D72" w14:textId="77777777" w:rsidTr="00B56D8D">
        <w:trPr>
          <w:trHeight w:val="70"/>
          <w:jc w:val="center"/>
        </w:trPr>
        <w:tc>
          <w:tcPr>
            <w:tcW w:w="1822" w:type="dxa"/>
            <w:shd w:val="clear" w:color="auto" w:fill="F2F2F2" w:themeFill="background1" w:themeFillShade="F2"/>
          </w:tcPr>
          <w:p w14:paraId="6E10027D" w14:textId="7C4C7DC1" w:rsidR="00D500E0" w:rsidRPr="007B62A8" w:rsidRDefault="00D500E0" w:rsidP="00D500E0">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tcBorders>
              <w:bottom w:val="single" w:sz="4" w:space="0" w:color="auto"/>
            </w:tcBorders>
            <w:vAlign w:val="center"/>
          </w:tcPr>
          <w:p w14:paraId="68FB1273" w14:textId="656169CC" w:rsidR="00D500E0" w:rsidRDefault="00F4326C" w:rsidP="00D500E0">
            <w:hyperlink r:id="rId7" w:history="1">
              <w:r w:rsidR="00D500E0">
                <w:rPr>
                  <w:rStyle w:val="Hyperlink"/>
                </w:rPr>
                <w:t>https://www.teachitgeography.co.uk</w:t>
              </w:r>
            </w:hyperlink>
            <w:r w:rsidR="00D500E0">
              <w:t xml:space="preserve"> – useful revision and notes</w:t>
            </w:r>
          </w:p>
          <w:p w14:paraId="6524A793" w14:textId="231FA2A7" w:rsidR="00D500E0" w:rsidRDefault="00F4326C" w:rsidP="00D500E0">
            <w:hyperlink r:id="rId8" w:history="1">
              <w:r w:rsidR="00D500E0">
                <w:rPr>
                  <w:rStyle w:val="Hyperlink"/>
                </w:rPr>
                <w:t>https://www.bbc.co.uk/bitesize/examspecs/zy3ptyc</w:t>
              </w:r>
            </w:hyperlink>
            <w:r w:rsidR="00D500E0">
              <w:t xml:space="preserve"> - specifically tailored revision to the AQA exam board</w:t>
            </w:r>
          </w:p>
          <w:p w14:paraId="7652992D" w14:textId="706B8C87" w:rsidR="00D500E0" w:rsidRPr="007B62A8" w:rsidRDefault="00D500E0" w:rsidP="00D500E0">
            <w:pPr>
              <w:rPr>
                <w:i/>
                <w:iCs/>
                <w:sz w:val="21"/>
                <w:szCs w:val="21"/>
              </w:rPr>
            </w:pPr>
          </w:p>
        </w:tc>
      </w:tr>
      <w:tr w:rsidR="00D500E0" w:rsidRPr="007B62A8" w14:paraId="484C6543" w14:textId="77777777" w:rsidTr="00B61603">
        <w:trPr>
          <w:trHeight w:val="70"/>
          <w:jc w:val="center"/>
        </w:trPr>
        <w:tc>
          <w:tcPr>
            <w:tcW w:w="1822" w:type="dxa"/>
            <w:shd w:val="clear" w:color="auto" w:fill="F2F2F2" w:themeFill="background1" w:themeFillShade="F2"/>
          </w:tcPr>
          <w:p w14:paraId="04B2DCC5" w14:textId="40D4AE4E"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t>Wider Reading</w:t>
            </w:r>
          </w:p>
        </w:tc>
        <w:tc>
          <w:tcPr>
            <w:tcW w:w="8524" w:type="dxa"/>
            <w:gridSpan w:val="2"/>
            <w:tcBorders>
              <w:right w:val="nil"/>
            </w:tcBorders>
          </w:tcPr>
          <w:p w14:paraId="2A9F0A48" w14:textId="77777777" w:rsidR="00D500E0" w:rsidRPr="00D74172" w:rsidRDefault="00D500E0" w:rsidP="00D500E0">
            <w:pPr>
              <w:pStyle w:val="ListParagraph"/>
              <w:numPr>
                <w:ilvl w:val="0"/>
                <w:numId w:val="12"/>
              </w:numPr>
              <w:rPr>
                <w:rStyle w:val="Hyperlink"/>
                <w:rFonts w:asciiTheme="majorHAnsi" w:hAnsiTheme="majorHAnsi" w:cstheme="majorHAnsi"/>
                <w:color w:val="000000" w:themeColor="text1"/>
                <w:sz w:val="21"/>
                <w:szCs w:val="21"/>
                <w:u w:val="none"/>
              </w:rPr>
            </w:pPr>
            <w:r w:rsidRPr="00D74172">
              <w:rPr>
                <w:rStyle w:val="Hyperlink"/>
                <w:rFonts w:asciiTheme="majorHAnsi" w:hAnsiTheme="majorHAnsi" w:cstheme="majorHAnsi"/>
                <w:color w:val="000000" w:themeColor="text1"/>
                <w:sz w:val="21"/>
                <w:szCs w:val="21"/>
                <w:u w:val="none"/>
              </w:rPr>
              <w:t xml:space="preserve">Geography 9-1 revision guide </w:t>
            </w:r>
          </w:p>
          <w:p w14:paraId="325A3A28" w14:textId="77777777" w:rsidR="00D500E0" w:rsidRPr="00D74172" w:rsidRDefault="00D500E0" w:rsidP="00D500E0">
            <w:pPr>
              <w:pStyle w:val="ListParagraph"/>
              <w:numPr>
                <w:ilvl w:val="0"/>
                <w:numId w:val="12"/>
              </w:numPr>
              <w:rPr>
                <w:rFonts w:asciiTheme="majorHAnsi" w:hAnsiTheme="majorHAnsi" w:cstheme="majorHAnsi"/>
                <w:color w:val="000000" w:themeColor="text1"/>
                <w:sz w:val="21"/>
                <w:szCs w:val="21"/>
              </w:rPr>
            </w:pPr>
            <w:r>
              <w:t>New Grade 9-1 GCSE Geography AQA Revision Guide By CGP</w:t>
            </w:r>
          </w:p>
          <w:p w14:paraId="4A75EDBE" w14:textId="77777777" w:rsidR="00D500E0" w:rsidRPr="00D74172" w:rsidRDefault="00D500E0" w:rsidP="00D500E0">
            <w:pPr>
              <w:pStyle w:val="ListParagraph"/>
              <w:numPr>
                <w:ilvl w:val="0"/>
                <w:numId w:val="12"/>
              </w:numPr>
              <w:rPr>
                <w:rFonts w:asciiTheme="majorHAnsi" w:hAnsiTheme="majorHAnsi" w:cstheme="majorHAnsi"/>
                <w:color w:val="000000" w:themeColor="text1"/>
                <w:sz w:val="21"/>
                <w:szCs w:val="21"/>
              </w:rPr>
            </w:pPr>
            <w:r>
              <w:t>New Grade 9-1 GCSE Geography AQA Complete Revision &amp; Practice</w:t>
            </w:r>
          </w:p>
          <w:p w14:paraId="2BD514F4" w14:textId="292E6A5E" w:rsidR="00D500E0" w:rsidRPr="00D5625E" w:rsidRDefault="00D500E0" w:rsidP="00D500E0">
            <w:pPr>
              <w:rPr>
                <w:sz w:val="21"/>
                <w:szCs w:val="21"/>
              </w:rPr>
            </w:pPr>
            <w:r>
              <w:t>GCSE Geography for AQA Student Book = by Rebecca Kitchen, David Payne</w:t>
            </w:r>
          </w:p>
        </w:tc>
        <w:tc>
          <w:tcPr>
            <w:tcW w:w="4263" w:type="dxa"/>
            <w:tcBorders>
              <w:left w:val="nil"/>
            </w:tcBorders>
          </w:tcPr>
          <w:p w14:paraId="7EB030C8" w14:textId="452B84A0" w:rsidR="00D500E0" w:rsidRPr="009634F1" w:rsidRDefault="00D500E0" w:rsidP="00D500E0">
            <w:pPr>
              <w:rPr>
                <w:rFonts w:asciiTheme="majorHAnsi" w:hAnsiTheme="majorHAnsi" w:cstheme="majorHAnsi"/>
                <w:sz w:val="21"/>
                <w:szCs w:val="21"/>
              </w:rPr>
            </w:pPr>
          </w:p>
        </w:tc>
      </w:tr>
      <w:tr w:rsidR="00D500E0" w:rsidRPr="007B62A8" w14:paraId="06FB5A77" w14:textId="77777777" w:rsidTr="007B62A8">
        <w:trPr>
          <w:trHeight w:val="70"/>
          <w:jc w:val="center"/>
        </w:trPr>
        <w:tc>
          <w:tcPr>
            <w:tcW w:w="1822" w:type="dxa"/>
            <w:shd w:val="clear" w:color="auto" w:fill="F2F2F2" w:themeFill="background1" w:themeFillShade="F2"/>
          </w:tcPr>
          <w:p w14:paraId="4337012B" w14:textId="77777777" w:rsidR="00D500E0" w:rsidRPr="007B62A8" w:rsidRDefault="00D500E0" w:rsidP="00D500E0">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61F0884B"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711AF9F7"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790292C3"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Revision clocks </w:t>
            </w:r>
          </w:p>
          <w:p w14:paraId="0E05B5F4"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3034985A" w14:textId="56772D97" w:rsidR="00D500E0" w:rsidRPr="00FB42F9"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Knowledge organiser booklets</w:t>
            </w:r>
          </w:p>
        </w:tc>
        <w:tc>
          <w:tcPr>
            <w:tcW w:w="4262" w:type="dxa"/>
          </w:tcPr>
          <w:p w14:paraId="475678C5"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5B640929"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5C17BB88" w14:textId="77777777" w:rsidR="00D500E0" w:rsidRDefault="00D500E0" w:rsidP="00D500E0">
            <w:pPr>
              <w:pStyle w:val="ListParagraph"/>
              <w:numPr>
                <w:ilvl w:val="0"/>
                <w:numId w:val="12"/>
              </w:numPr>
              <w:rPr>
                <w:rFonts w:asciiTheme="majorHAnsi" w:hAnsiTheme="majorHAnsi" w:cstheme="majorHAnsi"/>
                <w:sz w:val="21"/>
                <w:szCs w:val="21"/>
              </w:rPr>
            </w:pPr>
            <w:r w:rsidRPr="00FB42F9">
              <w:rPr>
                <w:rFonts w:asciiTheme="majorHAnsi" w:hAnsiTheme="majorHAnsi" w:cstheme="majorHAnsi"/>
                <w:sz w:val="21"/>
                <w:szCs w:val="21"/>
              </w:rPr>
              <w:t>Revision clocks</w:t>
            </w:r>
            <w:r>
              <w:rPr>
                <w:rFonts w:asciiTheme="majorHAnsi" w:hAnsiTheme="majorHAnsi" w:cstheme="majorHAnsi"/>
                <w:sz w:val="21"/>
                <w:szCs w:val="21"/>
              </w:rPr>
              <w:t xml:space="preserve"> </w:t>
            </w:r>
          </w:p>
          <w:p w14:paraId="7E2F2E06" w14:textId="72E87D31"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6CC58457" w14:textId="73058DB1" w:rsidR="00D500E0" w:rsidRPr="00FB42F9" w:rsidRDefault="00D500E0" w:rsidP="00D500E0">
            <w:pPr>
              <w:pStyle w:val="ListParagraph"/>
              <w:numPr>
                <w:ilvl w:val="0"/>
                <w:numId w:val="12"/>
              </w:numPr>
              <w:rPr>
                <w:rFonts w:asciiTheme="majorHAnsi" w:hAnsiTheme="majorHAnsi" w:cstheme="majorHAnsi"/>
                <w:bCs/>
                <w:sz w:val="21"/>
                <w:szCs w:val="21"/>
              </w:rPr>
            </w:pPr>
            <w:r>
              <w:rPr>
                <w:rFonts w:asciiTheme="majorHAnsi" w:hAnsiTheme="majorHAnsi" w:cstheme="majorHAnsi"/>
                <w:sz w:val="21"/>
                <w:szCs w:val="21"/>
              </w:rPr>
              <w:t>Knowledge organiser booklets</w:t>
            </w:r>
          </w:p>
        </w:tc>
        <w:tc>
          <w:tcPr>
            <w:tcW w:w="4263" w:type="dxa"/>
          </w:tcPr>
          <w:p w14:paraId="245AE93A" w14:textId="77777777" w:rsidR="00D500E0" w:rsidRDefault="00D500E0" w:rsidP="00D500E0">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Practice exam questions</w:t>
            </w:r>
          </w:p>
          <w:p w14:paraId="4EB20A85" w14:textId="77777777" w:rsidR="00D500E0" w:rsidRDefault="00D500E0" w:rsidP="00D500E0">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 xml:space="preserve">Thinking maps </w:t>
            </w:r>
          </w:p>
          <w:p w14:paraId="40A96162" w14:textId="77777777" w:rsidR="00D500E0" w:rsidRPr="0036009B" w:rsidRDefault="00D500E0" w:rsidP="00D500E0">
            <w:pPr>
              <w:pStyle w:val="ListParagraph"/>
              <w:numPr>
                <w:ilvl w:val="0"/>
                <w:numId w:val="12"/>
              </w:numPr>
              <w:rPr>
                <w:rFonts w:asciiTheme="majorHAnsi" w:hAnsiTheme="majorHAnsi" w:cstheme="majorHAnsi"/>
                <w:bCs/>
                <w:sz w:val="21"/>
                <w:szCs w:val="21"/>
              </w:rPr>
            </w:pPr>
            <w:r w:rsidRPr="00FB42F9">
              <w:rPr>
                <w:rFonts w:asciiTheme="majorHAnsi" w:hAnsiTheme="majorHAnsi" w:cstheme="majorHAnsi"/>
                <w:sz w:val="21"/>
                <w:szCs w:val="21"/>
              </w:rPr>
              <w:t>Revision clocks</w:t>
            </w:r>
          </w:p>
          <w:p w14:paraId="3D09BD99" w14:textId="77777777" w:rsidR="00D500E0" w:rsidRDefault="00D500E0" w:rsidP="00D500E0">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70730107" w14:textId="39BB7DFC" w:rsidR="00D500E0" w:rsidRPr="00FB42F9" w:rsidRDefault="00D500E0" w:rsidP="00D500E0">
            <w:pPr>
              <w:pStyle w:val="ListParagraph"/>
              <w:numPr>
                <w:ilvl w:val="0"/>
                <w:numId w:val="12"/>
              </w:numPr>
              <w:rPr>
                <w:rFonts w:asciiTheme="majorHAnsi" w:hAnsiTheme="majorHAnsi" w:cstheme="majorHAnsi"/>
                <w:bCs/>
                <w:sz w:val="21"/>
                <w:szCs w:val="21"/>
              </w:rPr>
            </w:pPr>
            <w:r>
              <w:rPr>
                <w:rFonts w:asciiTheme="majorHAnsi" w:hAnsiTheme="majorHAnsi" w:cstheme="majorHAnsi"/>
                <w:sz w:val="21"/>
                <w:szCs w:val="21"/>
              </w:rPr>
              <w:t>Knowledge organiser booklets</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C399" w14:textId="77777777" w:rsidR="00AF2744" w:rsidRDefault="00AF2744" w:rsidP="00FA0EBD">
      <w:pPr>
        <w:spacing w:after="0" w:line="240" w:lineRule="auto"/>
      </w:pPr>
      <w:r>
        <w:separator/>
      </w:r>
    </w:p>
  </w:endnote>
  <w:endnote w:type="continuationSeparator" w:id="0">
    <w:p w14:paraId="37A058A1" w14:textId="77777777" w:rsidR="00AF2744" w:rsidRDefault="00AF2744"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AC4B" w14:textId="77777777" w:rsidR="00AF2744" w:rsidRDefault="00AF2744" w:rsidP="00FA0EBD">
      <w:pPr>
        <w:spacing w:after="0" w:line="240" w:lineRule="auto"/>
      </w:pPr>
      <w:r>
        <w:separator/>
      </w:r>
    </w:p>
  </w:footnote>
  <w:footnote w:type="continuationSeparator" w:id="0">
    <w:p w14:paraId="4AC670D6" w14:textId="77777777" w:rsidR="00AF2744" w:rsidRDefault="00AF2744"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95C67"/>
    <w:multiLevelType w:val="hybridMultilevel"/>
    <w:tmpl w:val="4ED230A6"/>
    <w:lvl w:ilvl="0" w:tplc="9A9E4F5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A3FE9"/>
    <w:multiLevelType w:val="hybridMultilevel"/>
    <w:tmpl w:val="FB4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92BE4"/>
    <w:multiLevelType w:val="hybridMultilevel"/>
    <w:tmpl w:val="576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96262"/>
    <w:multiLevelType w:val="hybridMultilevel"/>
    <w:tmpl w:val="C81E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92539"/>
    <w:multiLevelType w:val="hybridMultilevel"/>
    <w:tmpl w:val="DC02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2"/>
  </w:num>
  <w:num w:numId="6">
    <w:abstractNumId w:val="3"/>
  </w:num>
  <w:num w:numId="7">
    <w:abstractNumId w:val="16"/>
  </w:num>
  <w:num w:numId="8">
    <w:abstractNumId w:val="8"/>
  </w:num>
  <w:num w:numId="9">
    <w:abstractNumId w:val="5"/>
  </w:num>
  <w:num w:numId="10">
    <w:abstractNumId w:val="13"/>
  </w:num>
  <w:num w:numId="11">
    <w:abstractNumId w:val="11"/>
  </w:num>
  <w:num w:numId="12">
    <w:abstractNumId w:val="9"/>
  </w:num>
  <w:num w:numId="13">
    <w:abstractNumId w:val="6"/>
  </w:num>
  <w:num w:numId="14">
    <w:abstractNumId w:val="15"/>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1B7C"/>
    <w:rsid w:val="000B51A7"/>
    <w:rsid w:val="000C49A6"/>
    <w:rsid w:val="000F0FE4"/>
    <w:rsid w:val="000F7E95"/>
    <w:rsid w:val="00102035"/>
    <w:rsid w:val="001405E5"/>
    <w:rsid w:val="0014633F"/>
    <w:rsid w:val="00160B3D"/>
    <w:rsid w:val="00187366"/>
    <w:rsid w:val="00193DF1"/>
    <w:rsid w:val="00197B52"/>
    <w:rsid w:val="001E2101"/>
    <w:rsid w:val="001F56F7"/>
    <w:rsid w:val="0023248A"/>
    <w:rsid w:val="00270E44"/>
    <w:rsid w:val="002A188E"/>
    <w:rsid w:val="002E6117"/>
    <w:rsid w:val="002F2663"/>
    <w:rsid w:val="00312CF3"/>
    <w:rsid w:val="0032456C"/>
    <w:rsid w:val="00343C48"/>
    <w:rsid w:val="003478B2"/>
    <w:rsid w:val="003543B2"/>
    <w:rsid w:val="0036009B"/>
    <w:rsid w:val="00374928"/>
    <w:rsid w:val="0039480E"/>
    <w:rsid w:val="00401933"/>
    <w:rsid w:val="00406357"/>
    <w:rsid w:val="004353B7"/>
    <w:rsid w:val="00450BB5"/>
    <w:rsid w:val="004521BE"/>
    <w:rsid w:val="004575EB"/>
    <w:rsid w:val="00476D79"/>
    <w:rsid w:val="0048237D"/>
    <w:rsid w:val="00487279"/>
    <w:rsid w:val="004A1CF8"/>
    <w:rsid w:val="0051002F"/>
    <w:rsid w:val="005332D9"/>
    <w:rsid w:val="00556403"/>
    <w:rsid w:val="00571715"/>
    <w:rsid w:val="00582754"/>
    <w:rsid w:val="005B7D09"/>
    <w:rsid w:val="005E13EB"/>
    <w:rsid w:val="00605EE3"/>
    <w:rsid w:val="0067766B"/>
    <w:rsid w:val="006906BB"/>
    <w:rsid w:val="006B6192"/>
    <w:rsid w:val="006C5708"/>
    <w:rsid w:val="006F0AF7"/>
    <w:rsid w:val="00706031"/>
    <w:rsid w:val="0072046E"/>
    <w:rsid w:val="007211E6"/>
    <w:rsid w:val="00781F85"/>
    <w:rsid w:val="00792EC3"/>
    <w:rsid w:val="007B62A8"/>
    <w:rsid w:val="007C65EF"/>
    <w:rsid w:val="00817C81"/>
    <w:rsid w:val="0082196E"/>
    <w:rsid w:val="008329D6"/>
    <w:rsid w:val="00856C4D"/>
    <w:rsid w:val="00863D99"/>
    <w:rsid w:val="00875F9E"/>
    <w:rsid w:val="00880E70"/>
    <w:rsid w:val="0089597A"/>
    <w:rsid w:val="008B58D2"/>
    <w:rsid w:val="008C66D7"/>
    <w:rsid w:val="008F0EB7"/>
    <w:rsid w:val="009022D9"/>
    <w:rsid w:val="009261A3"/>
    <w:rsid w:val="009634F1"/>
    <w:rsid w:val="00983EEB"/>
    <w:rsid w:val="009A5C73"/>
    <w:rsid w:val="009A6DAA"/>
    <w:rsid w:val="00A0000A"/>
    <w:rsid w:val="00A13A8D"/>
    <w:rsid w:val="00A150DB"/>
    <w:rsid w:val="00A22944"/>
    <w:rsid w:val="00A258B6"/>
    <w:rsid w:val="00A35F6F"/>
    <w:rsid w:val="00A619DC"/>
    <w:rsid w:val="00AD2ACB"/>
    <w:rsid w:val="00AF2744"/>
    <w:rsid w:val="00B01144"/>
    <w:rsid w:val="00B51B97"/>
    <w:rsid w:val="00B56D8D"/>
    <w:rsid w:val="00B57CA4"/>
    <w:rsid w:val="00B76F77"/>
    <w:rsid w:val="00B7755E"/>
    <w:rsid w:val="00BC2B3E"/>
    <w:rsid w:val="00BD3DDB"/>
    <w:rsid w:val="00BE1D9F"/>
    <w:rsid w:val="00BE296E"/>
    <w:rsid w:val="00C01BFE"/>
    <w:rsid w:val="00C03E79"/>
    <w:rsid w:val="00C12703"/>
    <w:rsid w:val="00C4707A"/>
    <w:rsid w:val="00C52E52"/>
    <w:rsid w:val="00C8715F"/>
    <w:rsid w:val="00C91963"/>
    <w:rsid w:val="00C93813"/>
    <w:rsid w:val="00C948CA"/>
    <w:rsid w:val="00D03071"/>
    <w:rsid w:val="00D24465"/>
    <w:rsid w:val="00D500E0"/>
    <w:rsid w:val="00D5625E"/>
    <w:rsid w:val="00D74172"/>
    <w:rsid w:val="00D775F5"/>
    <w:rsid w:val="00D836B5"/>
    <w:rsid w:val="00DA5FC5"/>
    <w:rsid w:val="00DC0527"/>
    <w:rsid w:val="00DE0126"/>
    <w:rsid w:val="00E05036"/>
    <w:rsid w:val="00E1278E"/>
    <w:rsid w:val="00E27DD2"/>
    <w:rsid w:val="00E3124A"/>
    <w:rsid w:val="00E40919"/>
    <w:rsid w:val="00E63CF0"/>
    <w:rsid w:val="00E905FA"/>
    <w:rsid w:val="00EF3716"/>
    <w:rsid w:val="00EF664F"/>
    <w:rsid w:val="00F06587"/>
    <w:rsid w:val="00F10FF6"/>
    <w:rsid w:val="00F2577A"/>
    <w:rsid w:val="00F4326C"/>
    <w:rsid w:val="00F708F2"/>
    <w:rsid w:val="00F90E42"/>
    <w:rsid w:val="00FA0EBD"/>
    <w:rsid w:val="00FB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 w:type="paragraph" w:styleId="Header">
    <w:name w:val="header"/>
    <w:basedOn w:val="Normal"/>
    <w:link w:val="HeaderChar"/>
    <w:uiPriority w:val="99"/>
    <w:unhideWhenUsed/>
    <w:rsid w:val="00FB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F9"/>
  </w:style>
  <w:style w:type="paragraph" w:styleId="Footer">
    <w:name w:val="footer"/>
    <w:basedOn w:val="Normal"/>
    <w:link w:val="FooterChar"/>
    <w:uiPriority w:val="99"/>
    <w:unhideWhenUsed/>
    <w:rsid w:val="00FB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y3ptyc" TargetMode="External"/><Relationship Id="rId3" Type="http://schemas.openxmlformats.org/officeDocument/2006/relationships/settings" Target="settings.xml"/><Relationship Id="rId7" Type="http://schemas.openxmlformats.org/officeDocument/2006/relationships/hyperlink" Target="https://www.teachitgeograph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4</cp:revision>
  <cp:lastPrinted>2017-06-14T11:36:00Z</cp:lastPrinted>
  <dcterms:created xsi:type="dcterms:W3CDTF">2020-11-21T19:01:00Z</dcterms:created>
  <dcterms:modified xsi:type="dcterms:W3CDTF">2021-10-05T16:26:00Z</dcterms:modified>
</cp:coreProperties>
</file>