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DD42D" w14:textId="564C8321" w:rsidR="00C3291B" w:rsidRPr="0038396E" w:rsidRDefault="008355DA" w:rsidP="008355DA">
      <w:pPr>
        <w:jc w:val="center"/>
        <w:rPr>
          <w:rFonts w:cstheme="minorHAnsi"/>
          <w:b/>
          <w:bCs/>
          <w:sz w:val="28"/>
          <w:szCs w:val="28"/>
        </w:rPr>
      </w:pPr>
      <w:r w:rsidRPr="0038396E">
        <w:rPr>
          <w:rFonts w:cstheme="minorHAnsi"/>
          <w:b/>
          <w:bCs/>
          <w:sz w:val="28"/>
          <w:szCs w:val="28"/>
        </w:rPr>
        <w:t>Stockland Green School Careers Policy</w:t>
      </w:r>
    </w:p>
    <w:p w14:paraId="504F679F" w14:textId="654674E2" w:rsidR="008355DA" w:rsidRPr="0038396E" w:rsidRDefault="008355DA">
      <w:pPr>
        <w:rPr>
          <w:rFonts w:cstheme="minorHAnsi"/>
        </w:rPr>
      </w:pPr>
    </w:p>
    <w:p w14:paraId="7EAD08CF" w14:textId="12B14CF1" w:rsidR="00BE7B0C" w:rsidRPr="0038396E" w:rsidRDefault="00BE7B0C">
      <w:pPr>
        <w:rPr>
          <w:rFonts w:cstheme="minorHAnsi"/>
          <w:b/>
          <w:bCs/>
        </w:rPr>
      </w:pPr>
      <w:r w:rsidRPr="0038396E">
        <w:rPr>
          <w:rFonts w:cstheme="minorHAnsi"/>
          <w:b/>
          <w:bCs/>
        </w:rPr>
        <w:t>Document Control</w:t>
      </w:r>
    </w:p>
    <w:p w14:paraId="3BE620DA" w14:textId="77777777" w:rsidR="00BE7B0C" w:rsidRPr="0038396E" w:rsidRDefault="00BE7B0C" w:rsidP="00BE7B0C">
      <w:pPr>
        <w:spacing w:before="10" w:line="240" w:lineRule="exact"/>
        <w:rPr>
          <w:rFonts w:eastAsia="Calibri" w:cstheme="minorHAnsi"/>
        </w:rPr>
      </w:pPr>
    </w:p>
    <w:tbl>
      <w:tblPr>
        <w:tblW w:w="9523" w:type="dxa"/>
        <w:tblInd w:w="111" w:type="dxa"/>
        <w:tblLayout w:type="fixed"/>
        <w:tblCellMar>
          <w:left w:w="0" w:type="dxa"/>
          <w:right w:w="0" w:type="dxa"/>
        </w:tblCellMar>
        <w:tblLook w:val="01E0" w:firstRow="1" w:lastRow="1" w:firstColumn="1" w:lastColumn="1" w:noHBand="0" w:noVBand="0"/>
      </w:tblPr>
      <w:tblGrid>
        <w:gridCol w:w="3286"/>
        <w:gridCol w:w="6237"/>
      </w:tblGrid>
      <w:tr w:rsidR="00BE7B0C" w:rsidRPr="0038396E" w14:paraId="6FC33B82" w14:textId="77777777" w:rsidTr="00170D78">
        <w:trPr>
          <w:trHeight w:hRule="exact" w:val="668"/>
        </w:trPr>
        <w:tc>
          <w:tcPr>
            <w:tcW w:w="3286" w:type="dxa"/>
            <w:tcBorders>
              <w:top w:val="single" w:sz="4" w:space="0" w:color="000000"/>
              <w:left w:val="single" w:sz="4" w:space="0" w:color="000000"/>
              <w:bottom w:val="single" w:sz="4" w:space="0" w:color="000000"/>
              <w:right w:val="single" w:sz="4" w:space="0" w:color="000000"/>
            </w:tcBorders>
          </w:tcPr>
          <w:p w14:paraId="068717A0" w14:textId="77777777" w:rsidR="00BE7B0C" w:rsidRPr="0038396E" w:rsidRDefault="00BE7B0C" w:rsidP="00BE7B0C">
            <w:pPr>
              <w:spacing w:before="52"/>
              <w:ind w:left="51"/>
              <w:rPr>
                <w:rFonts w:eastAsia="Arial" w:cstheme="minorHAnsi"/>
              </w:rPr>
            </w:pPr>
            <w:r w:rsidRPr="0038396E">
              <w:rPr>
                <w:rFonts w:eastAsia="Arial" w:cstheme="minorHAnsi"/>
                <w:spacing w:val="1"/>
              </w:rPr>
              <w:t>A</w:t>
            </w:r>
            <w:r w:rsidRPr="0038396E">
              <w:rPr>
                <w:rFonts w:eastAsia="Arial" w:cstheme="minorHAnsi"/>
                <w:spacing w:val="2"/>
              </w:rPr>
              <w:t>u</w:t>
            </w:r>
            <w:r w:rsidRPr="0038396E">
              <w:rPr>
                <w:rFonts w:eastAsia="Arial" w:cstheme="minorHAnsi"/>
                <w:spacing w:val="-1"/>
              </w:rPr>
              <w:t>t</w:t>
            </w:r>
            <w:r w:rsidRPr="0038396E">
              <w:rPr>
                <w:rFonts w:eastAsia="Arial" w:cstheme="minorHAnsi"/>
                <w:spacing w:val="2"/>
              </w:rPr>
              <w:t>ho</w:t>
            </w:r>
            <w:r w:rsidRPr="0038396E">
              <w:rPr>
                <w:rFonts w:eastAsia="Arial" w:cstheme="minorHAnsi"/>
                <w:spacing w:val="-1"/>
              </w:rPr>
              <w:t>r/</w:t>
            </w:r>
            <w:r w:rsidRPr="0038396E">
              <w:rPr>
                <w:rFonts w:eastAsia="Arial" w:cstheme="minorHAnsi"/>
                <w:spacing w:val="1"/>
              </w:rPr>
              <w:t>C</w:t>
            </w:r>
            <w:r w:rsidRPr="0038396E">
              <w:rPr>
                <w:rFonts w:eastAsia="Arial" w:cstheme="minorHAnsi"/>
                <w:spacing w:val="-2"/>
              </w:rPr>
              <w:t>o</w:t>
            </w:r>
            <w:r w:rsidRPr="0038396E">
              <w:rPr>
                <w:rFonts w:eastAsia="Arial" w:cstheme="minorHAnsi"/>
                <w:spacing w:val="2"/>
              </w:rPr>
              <w:t>n</w:t>
            </w:r>
            <w:r w:rsidRPr="0038396E">
              <w:rPr>
                <w:rFonts w:eastAsia="Arial" w:cstheme="minorHAnsi"/>
                <w:spacing w:val="-1"/>
              </w:rPr>
              <w:t>t</w:t>
            </w:r>
            <w:r w:rsidRPr="0038396E">
              <w:rPr>
                <w:rFonts w:eastAsia="Arial" w:cstheme="minorHAnsi"/>
                <w:spacing w:val="2"/>
              </w:rPr>
              <w:t>ac</w:t>
            </w:r>
            <w:r w:rsidRPr="0038396E">
              <w:rPr>
                <w:rFonts w:eastAsia="Arial" w:cstheme="minorHAnsi"/>
                <w:spacing w:val="-1"/>
              </w:rPr>
              <w:t>t</w:t>
            </w:r>
            <w:r w:rsidRPr="0038396E">
              <w:rPr>
                <w:rFonts w:eastAsia="Arial" w:cstheme="minorHAnsi"/>
              </w:rPr>
              <w:t>:</w:t>
            </w:r>
          </w:p>
        </w:tc>
        <w:tc>
          <w:tcPr>
            <w:tcW w:w="6237" w:type="dxa"/>
            <w:tcBorders>
              <w:top w:val="single" w:sz="4" w:space="0" w:color="000000"/>
              <w:left w:val="single" w:sz="4" w:space="0" w:color="000000"/>
              <w:bottom w:val="single" w:sz="4" w:space="0" w:color="000000"/>
              <w:right w:val="single" w:sz="4" w:space="0" w:color="000000"/>
            </w:tcBorders>
          </w:tcPr>
          <w:p w14:paraId="07A21318" w14:textId="45729AE5" w:rsidR="00BE7B0C" w:rsidRPr="0038396E" w:rsidRDefault="00BE7B0C" w:rsidP="00BE7B0C">
            <w:pPr>
              <w:rPr>
                <w:rFonts w:eastAsia="Calibri" w:cstheme="minorHAnsi"/>
              </w:rPr>
            </w:pPr>
            <w:r w:rsidRPr="0038396E">
              <w:rPr>
                <w:rFonts w:eastAsia="Calibri" w:cstheme="minorHAnsi"/>
              </w:rPr>
              <w:t>Careers Lead</w:t>
            </w:r>
          </w:p>
        </w:tc>
      </w:tr>
      <w:tr w:rsidR="00BE7B0C" w:rsidRPr="0038396E" w14:paraId="7D4BF1F3" w14:textId="77777777" w:rsidTr="00170D78">
        <w:trPr>
          <w:trHeight w:hRule="exact" w:val="668"/>
        </w:trPr>
        <w:tc>
          <w:tcPr>
            <w:tcW w:w="3286" w:type="dxa"/>
            <w:tcBorders>
              <w:top w:val="single" w:sz="4" w:space="0" w:color="000000"/>
              <w:left w:val="single" w:sz="4" w:space="0" w:color="000000"/>
              <w:bottom w:val="single" w:sz="4" w:space="0" w:color="000000"/>
              <w:right w:val="single" w:sz="4" w:space="0" w:color="000000"/>
            </w:tcBorders>
          </w:tcPr>
          <w:p w14:paraId="2FCEE87B" w14:textId="77777777" w:rsidR="00BE7B0C" w:rsidRPr="0038396E" w:rsidRDefault="00BE7B0C" w:rsidP="00BE7B0C">
            <w:pPr>
              <w:spacing w:before="52"/>
              <w:ind w:left="51"/>
              <w:rPr>
                <w:rFonts w:eastAsia="Arial" w:cstheme="minorHAnsi"/>
                <w:spacing w:val="1"/>
              </w:rPr>
            </w:pPr>
            <w:r w:rsidRPr="0038396E">
              <w:rPr>
                <w:rFonts w:eastAsia="Arial" w:cstheme="minorHAnsi"/>
                <w:spacing w:val="1"/>
              </w:rPr>
              <w:t>Head of Centre</w:t>
            </w:r>
          </w:p>
        </w:tc>
        <w:tc>
          <w:tcPr>
            <w:tcW w:w="6237" w:type="dxa"/>
            <w:tcBorders>
              <w:top w:val="single" w:sz="4" w:space="0" w:color="000000"/>
              <w:left w:val="single" w:sz="4" w:space="0" w:color="000000"/>
              <w:bottom w:val="single" w:sz="4" w:space="0" w:color="000000"/>
              <w:right w:val="single" w:sz="4" w:space="0" w:color="000000"/>
            </w:tcBorders>
          </w:tcPr>
          <w:p w14:paraId="2FB99312" w14:textId="19DF61A8" w:rsidR="00BE7B0C" w:rsidRPr="0038396E" w:rsidRDefault="00BE7B0C" w:rsidP="00BE7B0C">
            <w:pPr>
              <w:rPr>
                <w:rFonts w:eastAsia="Calibri" w:cstheme="minorHAnsi"/>
              </w:rPr>
            </w:pPr>
            <w:r w:rsidRPr="0038396E">
              <w:rPr>
                <w:rFonts w:eastAsia="Calibri" w:cstheme="minorHAnsi"/>
              </w:rPr>
              <w:t>Mrs George (Head Teacher)</w:t>
            </w:r>
          </w:p>
        </w:tc>
      </w:tr>
      <w:tr w:rsidR="00BE7B0C" w:rsidRPr="0038396E" w14:paraId="3F783127" w14:textId="77777777" w:rsidTr="00170D78">
        <w:trPr>
          <w:trHeight w:hRule="exact" w:val="668"/>
        </w:trPr>
        <w:tc>
          <w:tcPr>
            <w:tcW w:w="3286" w:type="dxa"/>
            <w:tcBorders>
              <w:top w:val="single" w:sz="4" w:space="0" w:color="000000"/>
              <w:left w:val="single" w:sz="4" w:space="0" w:color="000000"/>
              <w:bottom w:val="single" w:sz="4" w:space="0" w:color="000000"/>
              <w:right w:val="single" w:sz="4" w:space="0" w:color="000000"/>
            </w:tcBorders>
          </w:tcPr>
          <w:p w14:paraId="1F3875C5" w14:textId="77777777" w:rsidR="00BE7B0C" w:rsidRPr="0038396E" w:rsidRDefault="00BE7B0C" w:rsidP="00BE7B0C">
            <w:pPr>
              <w:spacing w:before="52"/>
              <w:ind w:left="51"/>
              <w:rPr>
                <w:rFonts w:eastAsia="Arial" w:cstheme="minorHAnsi"/>
              </w:rPr>
            </w:pPr>
            <w:r w:rsidRPr="0038396E">
              <w:rPr>
                <w:rFonts w:eastAsia="Arial" w:cstheme="minorHAnsi"/>
                <w:spacing w:val="1"/>
              </w:rPr>
              <w:t>F</w:t>
            </w:r>
            <w:r w:rsidRPr="0038396E">
              <w:rPr>
                <w:rFonts w:eastAsia="Arial" w:cstheme="minorHAnsi"/>
                <w:spacing w:val="-5"/>
              </w:rPr>
              <w:t>il</w:t>
            </w:r>
            <w:r w:rsidRPr="0038396E">
              <w:rPr>
                <w:rFonts w:eastAsia="Arial" w:cstheme="minorHAnsi"/>
                <w:spacing w:val="2"/>
              </w:rPr>
              <w:t>ena</w:t>
            </w:r>
            <w:r w:rsidRPr="0038396E">
              <w:rPr>
                <w:rFonts w:eastAsia="Arial" w:cstheme="minorHAnsi"/>
                <w:spacing w:val="5"/>
              </w:rPr>
              <w:t>m</w:t>
            </w:r>
            <w:r w:rsidRPr="0038396E">
              <w:rPr>
                <w:rFonts w:eastAsia="Arial" w:cstheme="minorHAnsi"/>
                <w:spacing w:val="2"/>
              </w:rPr>
              <w:t>e</w:t>
            </w:r>
            <w:r w:rsidRPr="0038396E">
              <w:rPr>
                <w:rFonts w:eastAsia="Arial" w:cstheme="minorHAnsi"/>
              </w:rPr>
              <w:t>:</w:t>
            </w:r>
          </w:p>
        </w:tc>
        <w:tc>
          <w:tcPr>
            <w:tcW w:w="6237" w:type="dxa"/>
            <w:tcBorders>
              <w:top w:val="single" w:sz="4" w:space="0" w:color="000000"/>
              <w:left w:val="single" w:sz="4" w:space="0" w:color="000000"/>
              <w:bottom w:val="single" w:sz="4" w:space="0" w:color="000000"/>
              <w:right w:val="single" w:sz="4" w:space="0" w:color="000000"/>
            </w:tcBorders>
          </w:tcPr>
          <w:p w14:paraId="540ADAC9" w14:textId="77777777" w:rsidR="00BE7B0C" w:rsidRPr="0038396E" w:rsidRDefault="00BE7B0C" w:rsidP="00BE7B0C">
            <w:pPr>
              <w:rPr>
                <w:rFonts w:eastAsia="Calibri" w:cstheme="minorHAnsi"/>
              </w:rPr>
            </w:pPr>
            <w:r w:rsidRPr="0038396E">
              <w:rPr>
                <w:rFonts w:eastAsia="Calibri" w:cstheme="minorHAnsi"/>
              </w:rPr>
              <w:t>Careers Policy</w:t>
            </w:r>
          </w:p>
        </w:tc>
      </w:tr>
      <w:tr w:rsidR="00BE7B0C" w:rsidRPr="0038396E" w14:paraId="2D6042EF" w14:textId="77777777" w:rsidTr="00170D78">
        <w:trPr>
          <w:trHeight w:hRule="exact" w:val="668"/>
        </w:trPr>
        <w:tc>
          <w:tcPr>
            <w:tcW w:w="3286" w:type="dxa"/>
            <w:tcBorders>
              <w:top w:val="single" w:sz="4" w:space="0" w:color="000000"/>
              <w:left w:val="single" w:sz="4" w:space="0" w:color="000000"/>
              <w:bottom w:val="single" w:sz="4" w:space="0" w:color="000000"/>
              <w:right w:val="single" w:sz="4" w:space="0" w:color="000000"/>
            </w:tcBorders>
          </w:tcPr>
          <w:p w14:paraId="010280BC" w14:textId="77777777" w:rsidR="00BE7B0C" w:rsidRPr="0038396E" w:rsidRDefault="00BE7B0C" w:rsidP="00BE7B0C">
            <w:pPr>
              <w:spacing w:before="48"/>
              <w:ind w:left="51"/>
              <w:rPr>
                <w:rFonts w:eastAsia="Arial" w:cstheme="minorHAnsi"/>
              </w:rPr>
            </w:pPr>
            <w:r w:rsidRPr="0038396E">
              <w:rPr>
                <w:rFonts w:eastAsia="Arial" w:cstheme="minorHAnsi"/>
                <w:spacing w:val="1"/>
              </w:rPr>
              <w:t>V</w:t>
            </w:r>
            <w:r w:rsidRPr="0038396E">
              <w:rPr>
                <w:rFonts w:eastAsia="Arial" w:cstheme="minorHAnsi"/>
                <w:spacing w:val="2"/>
              </w:rPr>
              <w:t>e</w:t>
            </w:r>
            <w:r w:rsidRPr="0038396E">
              <w:rPr>
                <w:rFonts w:eastAsia="Arial" w:cstheme="minorHAnsi"/>
                <w:spacing w:val="-1"/>
              </w:rPr>
              <w:t>r</w:t>
            </w:r>
            <w:r w:rsidRPr="0038396E">
              <w:rPr>
                <w:rFonts w:eastAsia="Arial" w:cstheme="minorHAnsi"/>
                <w:spacing w:val="2"/>
              </w:rPr>
              <w:t>s</w:t>
            </w:r>
            <w:r w:rsidRPr="0038396E">
              <w:rPr>
                <w:rFonts w:eastAsia="Arial" w:cstheme="minorHAnsi"/>
                <w:spacing w:val="-5"/>
              </w:rPr>
              <w:t>i</w:t>
            </w:r>
            <w:r w:rsidRPr="0038396E">
              <w:rPr>
                <w:rFonts w:eastAsia="Arial" w:cstheme="minorHAnsi"/>
                <w:spacing w:val="2"/>
              </w:rPr>
              <w:t>on</w:t>
            </w:r>
            <w:r w:rsidRPr="0038396E">
              <w:rPr>
                <w:rFonts w:eastAsia="Arial" w:cstheme="minorHAnsi"/>
              </w:rPr>
              <w:t>:</w:t>
            </w:r>
          </w:p>
        </w:tc>
        <w:tc>
          <w:tcPr>
            <w:tcW w:w="6237" w:type="dxa"/>
            <w:tcBorders>
              <w:top w:val="single" w:sz="4" w:space="0" w:color="000000"/>
              <w:left w:val="single" w:sz="4" w:space="0" w:color="000000"/>
              <w:bottom w:val="single" w:sz="4" w:space="0" w:color="000000"/>
              <w:right w:val="single" w:sz="4" w:space="0" w:color="000000"/>
            </w:tcBorders>
          </w:tcPr>
          <w:p w14:paraId="58115E6C" w14:textId="363A4A65" w:rsidR="00BE7B0C" w:rsidRPr="0038396E" w:rsidRDefault="00BE7B0C" w:rsidP="00BE7B0C">
            <w:pPr>
              <w:rPr>
                <w:rFonts w:eastAsia="Calibri" w:cstheme="minorHAnsi"/>
              </w:rPr>
            </w:pPr>
            <w:r w:rsidRPr="0038396E">
              <w:rPr>
                <w:rFonts w:eastAsia="Calibri" w:cstheme="minorHAnsi"/>
              </w:rPr>
              <w:t>1</w:t>
            </w:r>
          </w:p>
        </w:tc>
      </w:tr>
      <w:tr w:rsidR="00BE7B0C" w:rsidRPr="0038396E" w14:paraId="60924DF9" w14:textId="77777777" w:rsidTr="00170D78">
        <w:trPr>
          <w:trHeight w:hRule="exact" w:val="665"/>
        </w:trPr>
        <w:tc>
          <w:tcPr>
            <w:tcW w:w="3286" w:type="dxa"/>
            <w:tcBorders>
              <w:top w:val="single" w:sz="4" w:space="0" w:color="000000"/>
              <w:left w:val="single" w:sz="4" w:space="0" w:color="000000"/>
              <w:bottom w:val="single" w:sz="4" w:space="0" w:color="000000"/>
              <w:right w:val="single" w:sz="4" w:space="0" w:color="000000"/>
            </w:tcBorders>
          </w:tcPr>
          <w:p w14:paraId="60F486C4" w14:textId="77777777" w:rsidR="00BE7B0C" w:rsidRPr="0038396E" w:rsidRDefault="00BE7B0C" w:rsidP="00BE7B0C">
            <w:pPr>
              <w:spacing w:before="48"/>
              <w:ind w:left="51"/>
              <w:rPr>
                <w:rFonts w:eastAsia="Arial" w:cstheme="minorHAnsi"/>
              </w:rPr>
            </w:pPr>
            <w:r w:rsidRPr="0038396E">
              <w:rPr>
                <w:rFonts w:eastAsia="Arial" w:cstheme="minorHAnsi"/>
                <w:spacing w:val="1"/>
              </w:rPr>
              <w:t>S</w:t>
            </w:r>
            <w:r w:rsidRPr="0038396E">
              <w:rPr>
                <w:rFonts w:eastAsia="Arial" w:cstheme="minorHAnsi"/>
                <w:spacing w:val="-1"/>
              </w:rPr>
              <w:t>t</w:t>
            </w:r>
            <w:r w:rsidRPr="0038396E">
              <w:rPr>
                <w:rFonts w:eastAsia="Arial" w:cstheme="minorHAnsi"/>
                <w:spacing w:val="2"/>
              </w:rPr>
              <w:t>a</w:t>
            </w:r>
            <w:r w:rsidRPr="0038396E">
              <w:rPr>
                <w:rFonts w:eastAsia="Arial" w:cstheme="minorHAnsi"/>
                <w:spacing w:val="-1"/>
              </w:rPr>
              <w:t>t</w:t>
            </w:r>
            <w:r w:rsidRPr="0038396E">
              <w:rPr>
                <w:rFonts w:eastAsia="Arial" w:cstheme="minorHAnsi"/>
                <w:spacing w:val="2"/>
              </w:rPr>
              <w:t>us</w:t>
            </w:r>
            <w:r w:rsidRPr="0038396E">
              <w:rPr>
                <w:rFonts w:eastAsia="Arial" w:cstheme="minorHAnsi"/>
              </w:rPr>
              <w:t>:</w:t>
            </w:r>
          </w:p>
        </w:tc>
        <w:tc>
          <w:tcPr>
            <w:tcW w:w="6237" w:type="dxa"/>
            <w:tcBorders>
              <w:top w:val="single" w:sz="4" w:space="0" w:color="000000"/>
              <w:left w:val="single" w:sz="4" w:space="0" w:color="000000"/>
              <w:bottom w:val="single" w:sz="4" w:space="0" w:color="000000"/>
              <w:right w:val="single" w:sz="4" w:space="0" w:color="000000"/>
            </w:tcBorders>
          </w:tcPr>
          <w:p w14:paraId="1FE2F308" w14:textId="63CE23D6" w:rsidR="00BE7B0C" w:rsidRPr="0038396E" w:rsidRDefault="00342C39" w:rsidP="00BE7B0C">
            <w:pPr>
              <w:rPr>
                <w:rFonts w:eastAsia="Calibri" w:cstheme="minorHAnsi"/>
              </w:rPr>
            </w:pPr>
            <w:r>
              <w:rPr>
                <w:rFonts w:eastAsia="Calibri" w:cstheme="minorHAnsi"/>
              </w:rPr>
              <w:t>Final</w:t>
            </w:r>
          </w:p>
        </w:tc>
      </w:tr>
      <w:tr w:rsidR="00BE7B0C" w:rsidRPr="0038396E" w14:paraId="06EEF6B9" w14:textId="77777777" w:rsidTr="00170D78">
        <w:trPr>
          <w:trHeight w:hRule="exact" w:val="668"/>
        </w:trPr>
        <w:tc>
          <w:tcPr>
            <w:tcW w:w="3286" w:type="dxa"/>
            <w:tcBorders>
              <w:top w:val="single" w:sz="4" w:space="0" w:color="000000"/>
              <w:left w:val="single" w:sz="4" w:space="0" w:color="000000"/>
              <w:bottom w:val="single" w:sz="4" w:space="0" w:color="000000"/>
              <w:right w:val="single" w:sz="4" w:space="0" w:color="000000"/>
            </w:tcBorders>
          </w:tcPr>
          <w:p w14:paraId="67C64204" w14:textId="77777777" w:rsidR="00BE7B0C" w:rsidRPr="0038396E" w:rsidRDefault="00BE7B0C" w:rsidP="00BE7B0C">
            <w:pPr>
              <w:spacing w:before="52"/>
              <w:ind w:left="51"/>
              <w:rPr>
                <w:rFonts w:eastAsia="Arial" w:cstheme="minorHAnsi"/>
              </w:rPr>
            </w:pPr>
            <w:r w:rsidRPr="0038396E">
              <w:rPr>
                <w:rFonts w:eastAsia="Arial" w:cstheme="minorHAnsi"/>
                <w:spacing w:val="1"/>
              </w:rPr>
              <w:t>P</w:t>
            </w:r>
            <w:r w:rsidRPr="0038396E">
              <w:rPr>
                <w:rFonts w:eastAsia="Arial" w:cstheme="minorHAnsi"/>
                <w:spacing w:val="2"/>
              </w:rPr>
              <w:t>ub</w:t>
            </w:r>
            <w:r w:rsidRPr="0038396E">
              <w:rPr>
                <w:rFonts w:eastAsia="Arial" w:cstheme="minorHAnsi"/>
                <w:spacing w:val="-5"/>
              </w:rPr>
              <w:t>li</w:t>
            </w:r>
            <w:r w:rsidRPr="0038396E">
              <w:rPr>
                <w:rFonts w:eastAsia="Arial" w:cstheme="minorHAnsi"/>
                <w:spacing w:val="2"/>
              </w:rPr>
              <w:t>ca</w:t>
            </w:r>
            <w:r w:rsidRPr="0038396E">
              <w:rPr>
                <w:rFonts w:eastAsia="Arial" w:cstheme="minorHAnsi"/>
                <w:spacing w:val="3"/>
              </w:rPr>
              <w:t>t</w:t>
            </w:r>
            <w:r w:rsidRPr="0038396E">
              <w:rPr>
                <w:rFonts w:eastAsia="Arial" w:cstheme="minorHAnsi"/>
                <w:spacing w:val="-5"/>
              </w:rPr>
              <w:t>i</w:t>
            </w:r>
            <w:r w:rsidRPr="0038396E">
              <w:rPr>
                <w:rFonts w:eastAsia="Arial" w:cstheme="minorHAnsi"/>
                <w:spacing w:val="2"/>
              </w:rPr>
              <w:t>o</w:t>
            </w:r>
            <w:r w:rsidRPr="0038396E">
              <w:rPr>
                <w:rFonts w:eastAsia="Arial" w:cstheme="minorHAnsi"/>
              </w:rPr>
              <w:t>n</w:t>
            </w:r>
            <w:r w:rsidRPr="0038396E">
              <w:rPr>
                <w:rFonts w:eastAsia="Arial" w:cstheme="minorHAnsi"/>
                <w:spacing w:val="1"/>
              </w:rPr>
              <w:t xml:space="preserve"> D</w:t>
            </w:r>
            <w:r w:rsidRPr="0038396E">
              <w:rPr>
                <w:rFonts w:eastAsia="Arial" w:cstheme="minorHAnsi"/>
                <w:spacing w:val="2"/>
              </w:rPr>
              <w:t>a</w:t>
            </w:r>
            <w:r w:rsidRPr="0038396E">
              <w:rPr>
                <w:rFonts w:eastAsia="Arial" w:cstheme="minorHAnsi"/>
                <w:spacing w:val="-1"/>
              </w:rPr>
              <w:t>t</w:t>
            </w:r>
            <w:r w:rsidRPr="0038396E">
              <w:rPr>
                <w:rFonts w:eastAsia="Arial" w:cstheme="minorHAnsi"/>
                <w:spacing w:val="2"/>
              </w:rPr>
              <w:t>e</w:t>
            </w:r>
            <w:r w:rsidRPr="0038396E">
              <w:rPr>
                <w:rFonts w:eastAsia="Arial" w:cstheme="minorHAnsi"/>
              </w:rPr>
              <w:t>:</w:t>
            </w:r>
          </w:p>
        </w:tc>
        <w:tc>
          <w:tcPr>
            <w:tcW w:w="6237" w:type="dxa"/>
            <w:tcBorders>
              <w:top w:val="single" w:sz="4" w:space="0" w:color="000000"/>
              <w:left w:val="single" w:sz="4" w:space="0" w:color="000000"/>
              <w:bottom w:val="single" w:sz="4" w:space="0" w:color="000000"/>
              <w:right w:val="single" w:sz="4" w:space="0" w:color="000000"/>
            </w:tcBorders>
          </w:tcPr>
          <w:p w14:paraId="3BDF7742" w14:textId="7B78FF38" w:rsidR="00BE7B0C" w:rsidRPr="0038396E" w:rsidRDefault="00BE7B0C" w:rsidP="00BE7B0C">
            <w:pPr>
              <w:rPr>
                <w:rFonts w:eastAsia="Calibri" w:cstheme="minorHAnsi"/>
              </w:rPr>
            </w:pPr>
            <w:r w:rsidRPr="0038396E">
              <w:rPr>
                <w:rFonts w:eastAsia="Calibri" w:cstheme="minorHAnsi"/>
              </w:rPr>
              <w:t>June 2022</w:t>
            </w:r>
          </w:p>
        </w:tc>
      </w:tr>
      <w:tr w:rsidR="00BE7B0C" w:rsidRPr="0038396E" w14:paraId="2F259A02" w14:textId="77777777" w:rsidTr="00170D78">
        <w:trPr>
          <w:trHeight w:hRule="exact" w:val="668"/>
        </w:trPr>
        <w:tc>
          <w:tcPr>
            <w:tcW w:w="3286" w:type="dxa"/>
            <w:tcBorders>
              <w:top w:val="single" w:sz="4" w:space="0" w:color="000000"/>
              <w:left w:val="single" w:sz="4" w:space="0" w:color="000000"/>
              <w:bottom w:val="single" w:sz="4" w:space="0" w:color="000000"/>
              <w:right w:val="single" w:sz="4" w:space="0" w:color="000000"/>
            </w:tcBorders>
          </w:tcPr>
          <w:p w14:paraId="187BBF39" w14:textId="77777777" w:rsidR="00BE7B0C" w:rsidRPr="0038396E" w:rsidRDefault="00BE7B0C" w:rsidP="00BE7B0C">
            <w:pPr>
              <w:spacing w:before="52"/>
              <w:ind w:left="51"/>
              <w:rPr>
                <w:rFonts w:eastAsia="Arial" w:cstheme="minorHAnsi"/>
              </w:rPr>
            </w:pPr>
            <w:r w:rsidRPr="0038396E">
              <w:rPr>
                <w:rFonts w:eastAsia="Arial" w:cstheme="minorHAnsi"/>
                <w:spacing w:val="1"/>
              </w:rPr>
              <w:t>R</w:t>
            </w:r>
            <w:r w:rsidRPr="0038396E">
              <w:rPr>
                <w:rFonts w:eastAsia="Arial" w:cstheme="minorHAnsi"/>
                <w:spacing w:val="2"/>
              </w:rPr>
              <w:t>e</w:t>
            </w:r>
            <w:r w:rsidRPr="0038396E">
              <w:rPr>
                <w:rFonts w:eastAsia="Arial" w:cstheme="minorHAnsi"/>
                <w:spacing w:val="-5"/>
              </w:rPr>
              <w:t>l</w:t>
            </w:r>
            <w:r w:rsidRPr="0038396E">
              <w:rPr>
                <w:rFonts w:eastAsia="Arial" w:cstheme="minorHAnsi"/>
                <w:spacing w:val="2"/>
              </w:rPr>
              <w:t>a</w:t>
            </w:r>
            <w:r w:rsidRPr="0038396E">
              <w:rPr>
                <w:rFonts w:eastAsia="Arial" w:cstheme="minorHAnsi"/>
                <w:spacing w:val="-1"/>
              </w:rPr>
              <w:t>t</w:t>
            </w:r>
            <w:r w:rsidRPr="0038396E">
              <w:rPr>
                <w:rFonts w:eastAsia="Arial" w:cstheme="minorHAnsi"/>
                <w:spacing w:val="2"/>
              </w:rPr>
              <w:t>e</w:t>
            </w:r>
            <w:r w:rsidRPr="0038396E">
              <w:rPr>
                <w:rFonts w:eastAsia="Arial" w:cstheme="minorHAnsi"/>
              </w:rPr>
              <w:t>d</w:t>
            </w:r>
            <w:r w:rsidRPr="0038396E">
              <w:rPr>
                <w:rFonts w:eastAsia="Arial" w:cstheme="minorHAnsi"/>
                <w:spacing w:val="1"/>
              </w:rPr>
              <w:t xml:space="preserve"> P</w:t>
            </w:r>
            <w:r w:rsidRPr="0038396E">
              <w:rPr>
                <w:rFonts w:eastAsia="Arial" w:cstheme="minorHAnsi"/>
                <w:spacing w:val="2"/>
              </w:rPr>
              <w:t>o</w:t>
            </w:r>
            <w:r w:rsidRPr="0038396E">
              <w:rPr>
                <w:rFonts w:eastAsia="Arial" w:cstheme="minorHAnsi"/>
                <w:spacing w:val="-1"/>
              </w:rPr>
              <w:t>l</w:t>
            </w:r>
            <w:r w:rsidRPr="0038396E">
              <w:rPr>
                <w:rFonts w:eastAsia="Arial" w:cstheme="minorHAnsi"/>
                <w:spacing w:val="-5"/>
              </w:rPr>
              <w:t>i</w:t>
            </w:r>
            <w:r w:rsidRPr="0038396E">
              <w:rPr>
                <w:rFonts w:eastAsia="Arial" w:cstheme="minorHAnsi"/>
                <w:spacing w:val="2"/>
              </w:rPr>
              <w:t>c</w:t>
            </w:r>
            <w:r w:rsidRPr="0038396E">
              <w:rPr>
                <w:rFonts w:eastAsia="Arial" w:cstheme="minorHAnsi"/>
                <w:spacing w:val="-5"/>
              </w:rPr>
              <w:t>i</w:t>
            </w:r>
            <w:r w:rsidRPr="0038396E">
              <w:rPr>
                <w:rFonts w:eastAsia="Arial" w:cstheme="minorHAnsi"/>
                <w:spacing w:val="2"/>
              </w:rPr>
              <w:t>es</w:t>
            </w:r>
            <w:r w:rsidRPr="0038396E">
              <w:rPr>
                <w:rFonts w:eastAsia="Arial" w:cstheme="minorHAnsi"/>
              </w:rPr>
              <w:t>:</w:t>
            </w:r>
          </w:p>
        </w:tc>
        <w:tc>
          <w:tcPr>
            <w:tcW w:w="6237" w:type="dxa"/>
            <w:tcBorders>
              <w:top w:val="single" w:sz="4" w:space="0" w:color="000000"/>
              <w:left w:val="single" w:sz="4" w:space="0" w:color="000000"/>
              <w:bottom w:val="single" w:sz="4" w:space="0" w:color="000000"/>
              <w:right w:val="single" w:sz="4" w:space="0" w:color="000000"/>
            </w:tcBorders>
          </w:tcPr>
          <w:p w14:paraId="5E63A108" w14:textId="77777777" w:rsidR="00BE7B0C" w:rsidRPr="0038396E" w:rsidRDefault="00BE7B0C" w:rsidP="00BE7B0C">
            <w:pPr>
              <w:rPr>
                <w:rFonts w:eastAsia="Calibri" w:cstheme="minorHAnsi"/>
              </w:rPr>
            </w:pPr>
            <w:r w:rsidRPr="0038396E">
              <w:rPr>
                <w:rFonts w:eastAsia="Calibri" w:cstheme="minorHAnsi"/>
              </w:rPr>
              <w:t>ATLP Complaints Policy</w:t>
            </w:r>
          </w:p>
        </w:tc>
      </w:tr>
      <w:tr w:rsidR="00BE7B0C" w:rsidRPr="0038396E" w14:paraId="5DA32054" w14:textId="77777777" w:rsidTr="00170D78">
        <w:trPr>
          <w:trHeight w:hRule="exact" w:val="668"/>
        </w:trPr>
        <w:tc>
          <w:tcPr>
            <w:tcW w:w="3286" w:type="dxa"/>
            <w:tcBorders>
              <w:top w:val="single" w:sz="4" w:space="0" w:color="000000"/>
              <w:left w:val="single" w:sz="4" w:space="0" w:color="000000"/>
              <w:bottom w:val="single" w:sz="4" w:space="0" w:color="000000"/>
              <w:right w:val="single" w:sz="4" w:space="0" w:color="000000"/>
            </w:tcBorders>
          </w:tcPr>
          <w:p w14:paraId="5091F9FF" w14:textId="77777777" w:rsidR="00BE7B0C" w:rsidRPr="0038396E" w:rsidRDefault="00BE7B0C" w:rsidP="00BE7B0C">
            <w:pPr>
              <w:spacing w:before="52"/>
              <w:ind w:left="51"/>
              <w:rPr>
                <w:rFonts w:eastAsia="Arial" w:cstheme="minorHAnsi"/>
              </w:rPr>
            </w:pPr>
            <w:r w:rsidRPr="0038396E">
              <w:rPr>
                <w:rFonts w:eastAsia="Arial" w:cstheme="minorHAnsi"/>
                <w:spacing w:val="1"/>
              </w:rPr>
              <w:t>R</w:t>
            </w:r>
            <w:r w:rsidRPr="0038396E">
              <w:rPr>
                <w:rFonts w:eastAsia="Arial" w:cstheme="minorHAnsi"/>
                <w:spacing w:val="-2"/>
              </w:rPr>
              <w:t>e</w:t>
            </w:r>
            <w:r w:rsidRPr="0038396E">
              <w:rPr>
                <w:rFonts w:eastAsia="Arial" w:cstheme="minorHAnsi"/>
                <w:spacing w:val="6"/>
              </w:rPr>
              <w:t>v</w:t>
            </w:r>
            <w:r w:rsidRPr="0038396E">
              <w:rPr>
                <w:rFonts w:eastAsia="Arial" w:cstheme="minorHAnsi"/>
                <w:spacing w:val="-5"/>
              </w:rPr>
              <w:t>i</w:t>
            </w:r>
            <w:r w:rsidRPr="0038396E">
              <w:rPr>
                <w:rFonts w:eastAsia="Arial" w:cstheme="minorHAnsi"/>
                <w:spacing w:val="2"/>
              </w:rPr>
              <w:t>e</w:t>
            </w:r>
            <w:r w:rsidRPr="0038396E">
              <w:rPr>
                <w:rFonts w:eastAsia="Arial" w:cstheme="minorHAnsi"/>
              </w:rPr>
              <w:t>w</w:t>
            </w:r>
            <w:r w:rsidRPr="0038396E">
              <w:rPr>
                <w:rFonts w:eastAsia="Arial" w:cstheme="minorHAnsi"/>
                <w:spacing w:val="-4"/>
              </w:rPr>
              <w:t xml:space="preserve"> </w:t>
            </w:r>
            <w:r w:rsidRPr="0038396E">
              <w:rPr>
                <w:rFonts w:eastAsia="Arial" w:cstheme="minorHAnsi"/>
                <w:spacing w:val="1"/>
              </w:rPr>
              <w:t>D</w:t>
            </w:r>
            <w:r w:rsidRPr="0038396E">
              <w:rPr>
                <w:rFonts w:eastAsia="Arial" w:cstheme="minorHAnsi"/>
                <w:spacing w:val="2"/>
              </w:rPr>
              <w:t>a</w:t>
            </w:r>
            <w:r w:rsidRPr="0038396E">
              <w:rPr>
                <w:rFonts w:eastAsia="Arial" w:cstheme="minorHAnsi"/>
                <w:spacing w:val="-1"/>
              </w:rPr>
              <w:t>t</w:t>
            </w:r>
            <w:r w:rsidRPr="0038396E">
              <w:rPr>
                <w:rFonts w:eastAsia="Arial" w:cstheme="minorHAnsi"/>
                <w:spacing w:val="2"/>
              </w:rPr>
              <w:t>e</w:t>
            </w:r>
            <w:r w:rsidRPr="0038396E">
              <w:rPr>
                <w:rFonts w:eastAsia="Arial" w:cstheme="minorHAnsi"/>
              </w:rPr>
              <w:t>:</w:t>
            </w:r>
          </w:p>
        </w:tc>
        <w:tc>
          <w:tcPr>
            <w:tcW w:w="6237" w:type="dxa"/>
            <w:tcBorders>
              <w:top w:val="single" w:sz="4" w:space="0" w:color="000000"/>
              <w:left w:val="single" w:sz="4" w:space="0" w:color="000000"/>
              <w:bottom w:val="single" w:sz="4" w:space="0" w:color="auto"/>
              <w:right w:val="single" w:sz="4" w:space="0" w:color="000000"/>
            </w:tcBorders>
          </w:tcPr>
          <w:p w14:paraId="0B30791E" w14:textId="009A9FFC" w:rsidR="00BE7B0C" w:rsidRPr="0038396E" w:rsidRDefault="00BE7B0C" w:rsidP="00BE7B0C">
            <w:pPr>
              <w:rPr>
                <w:rFonts w:eastAsia="Calibri" w:cstheme="minorHAnsi"/>
              </w:rPr>
            </w:pPr>
            <w:r w:rsidRPr="0038396E">
              <w:rPr>
                <w:rFonts w:eastAsia="Calibri" w:cstheme="minorHAnsi"/>
              </w:rPr>
              <w:t>June 2023</w:t>
            </w:r>
          </w:p>
        </w:tc>
      </w:tr>
      <w:tr w:rsidR="00BE7B0C" w:rsidRPr="0038396E" w14:paraId="5F3A8D6A" w14:textId="77777777" w:rsidTr="00170D78">
        <w:trPr>
          <w:trHeight w:hRule="exact" w:val="668"/>
        </w:trPr>
        <w:tc>
          <w:tcPr>
            <w:tcW w:w="3286" w:type="dxa"/>
            <w:tcBorders>
              <w:top w:val="single" w:sz="4" w:space="0" w:color="000000"/>
              <w:left w:val="single" w:sz="4" w:space="0" w:color="000000"/>
              <w:bottom w:val="single" w:sz="4" w:space="0" w:color="000000"/>
              <w:right w:val="single" w:sz="4" w:space="0" w:color="auto"/>
            </w:tcBorders>
          </w:tcPr>
          <w:p w14:paraId="561C2BB4" w14:textId="77777777" w:rsidR="00BE7B0C" w:rsidRPr="0038396E" w:rsidRDefault="00BE7B0C" w:rsidP="00BE7B0C">
            <w:pPr>
              <w:spacing w:before="53"/>
              <w:ind w:left="51"/>
              <w:rPr>
                <w:rFonts w:eastAsia="Arial" w:cstheme="minorHAnsi"/>
              </w:rPr>
            </w:pPr>
            <w:r w:rsidRPr="0038396E">
              <w:rPr>
                <w:rFonts w:eastAsia="Arial" w:cstheme="minorHAnsi"/>
                <w:spacing w:val="1"/>
              </w:rPr>
              <w:t>A</w:t>
            </w:r>
            <w:r w:rsidRPr="0038396E">
              <w:rPr>
                <w:rFonts w:eastAsia="Arial" w:cstheme="minorHAnsi"/>
                <w:spacing w:val="2"/>
              </w:rPr>
              <w:t>pp</w:t>
            </w:r>
            <w:r w:rsidRPr="0038396E">
              <w:rPr>
                <w:rFonts w:eastAsia="Arial" w:cstheme="minorHAnsi"/>
                <w:spacing w:val="-1"/>
              </w:rPr>
              <w:t>r</w:t>
            </w:r>
            <w:r w:rsidRPr="0038396E">
              <w:rPr>
                <w:rFonts w:eastAsia="Arial" w:cstheme="minorHAnsi"/>
                <w:spacing w:val="-2"/>
              </w:rPr>
              <w:t>o</w:t>
            </w:r>
            <w:r w:rsidRPr="0038396E">
              <w:rPr>
                <w:rFonts w:eastAsia="Arial" w:cstheme="minorHAnsi"/>
                <w:spacing w:val="2"/>
              </w:rPr>
              <w:t>v</w:t>
            </w:r>
            <w:r w:rsidRPr="0038396E">
              <w:rPr>
                <w:rFonts w:eastAsia="Arial" w:cstheme="minorHAnsi"/>
                <w:spacing w:val="-2"/>
              </w:rPr>
              <w:t>e</w:t>
            </w:r>
            <w:r w:rsidRPr="0038396E">
              <w:rPr>
                <w:rFonts w:eastAsia="Arial" w:cstheme="minorHAnsi"/>
                <w:spacing w:val="2"/>
              </w:rPr>
              <w:t>d</w:t>
            </w:r>
            <w:r w:rsidRPr="0038396E">
              <w:rPr>
                <w:rFonts w:eastAsia="Arial" w:cstheme="minorHAnsi"/>
                <w:spacing w:val="-1"/>
              </w:rPr>
              <w:t>/</w:t>
            </w:r>
            <w:r w:rsidRPr="0038396E">
              <w:rPr>
                <w:rFonts w:eastAsia="Arial" w:cstheme="minorHAnsi"/>
                <w:spacing w:val="1"/>
              </w:rPr>
              <w:t>R</w:t>
            </w:r>
            <w:r w:rsidRPr="0038396E">
              <w:rPr>
                <w:rFonts w:eastAsia="Arial" w:cstheme="minorHAnsi"/>
                <w:spacing w:val="2"/>
              </w:rPr>
              <w:t>a</w:t>
            </w:r>
            <w:r w:rsidRPr="0038396E">
              <w:rPr>
                <w:rFonts w:eastAsia="Arial" w:cstheme="minorHAnsi"/>
                <w:spacing w:val="-1"/>
              </w:rPr>
              <w:t>t</w:t>
            </w:r>
            <w:r w:rsidRPr="0038396E">
              <w:rPr>
                <w:rFonts w:eastAsia="Arial" w:cstheme="minorHAnsi"/>
                <w:spacing w:val="-5"/>
              </w:rPr>
              <w:t>i</w:t>
            </w:r>
            <w:r w:rsidRPr="0038396E">
              <w:rPr>
                <w:rFonts w:eastAsia="Arial" w:cstheme="minorHAnsi"/>
                <w:spacing w:val="3"/>
              </w:rPr>
              <w:t>f</w:t>
            </w:r>
            <w:r w:rsidRPr="0038396E">
              <w:rPr>
                <w:rFonts w:eastAsia="Arial" w:cstheme="minorHAnsi"/>
                <w:spacing w:val="-5"/>
              </w:rPr>
              <w:t>i</w:t>
            </w:r>
            <w:r w:rsidRPr="0038396E">
              <w:rPr>
                <w:rFonts w:eastAsia="Arial" w:cstheme="minorHAnsi"/>
                <w:spacing w:val="2"/>
              </w:rPr>
              <w:t>e</w:t>
            </w:r>
            <w:r w:rsidRPr="0038396E">
              <w:rPr>
                <w:rFonts w:eastAsia="Arial" w:cstheme="minorHAnsi"/>
              </w:rPr>
              <w:t>d</w:t>
            </w:r>
            <w:r w:rsidRPr="0038396E">
              <w:rPr>
                <w:rFonts w:eastAsia="Arial" w:cstheme="minorHAnsi"/>
                <w:spacing w:val="1"/>
              </w:rPr>
              <w:t xml:space="preserve"> </w:t>
            </w:r>
            <w:r w:rsidRPr="0038396E">
              <w:rPr>
                <w:rFonts w:eastAsia="Arial" w:cstheme="minorHAnsi"/>
                <w:spacing w:val="2"/>
              </w:rPr>
              <w:t>b</w:t>
            </w:r>
            <w:r w:rsidRPr="0038396E">
              <w:rPr>
                <w:rFonts w:eastAsia="Arial" w:cstheme="minorHAnsi"/>
                <w:spacing w:val="-2"/>
              </w:rPr>
              <w:t>y</w:t>
            </w:r>
            <w:r w:rsidRPr="0038396E">
              <w:rPr>
                <w:rFonts w:eastAsia="Arial" w:cstheme="minorHAnsi"/>
              </w:rPr>
              <w:t>:</w:t>
            </w:r>
          </w:p>
        </w:tc>
        <w:tc>
          <w:tcPr>
            <w:tcW w:w="6237" w:type="dxa"/>
            <w:tcBorders>
              <w:top w:val="single" w:sz="4" w:space="0" w:color="auto"/>
              <w:left w:val="single" w:sz="4" w:space="0" w:color="auto"/>
              <w:bottom w:val="single" w:sz="4" w:space="0" w:color="auto"/>
              <w:right w:val="single" w:sz="4" w:space="0" w:color="auto"/>
            </w:tcBorders>
          </w:tcPr>
          <w:p w14:paraId="11C57588" w14:textId="6097C362" w:rsidR="00BE7B0C" w:rsidRPr="0038396E" w:rsidRDefault="00342C39" w:rsidP="00BE7B0C">
            <w:pPr>
              <w:rPr>
                <w:rFonts w:eastAsia="Calibri" w:cstheme="minorHAnsi"/>
              </w:rPr>
            </w:pPr>
            <w:r>
              <w:rPr>
                <w:rFonts w:eastAsia="Calibri" w:cstheme="minorHAnsi"/>
              </w:rPr>
              <w:t>Marie George</w:t>
            </w:r>
          </w:p>
        </w:tc>
      </w:tr>
      <w:tr w:rsidR="00BE7B0C" w:rsidRPr="0038396E" w14:paraId="2401521B" w14:textId="77777777" w:rsidTr="00170D78">
        <w:trPr>
          <w:trHeight w:hRule="exact" w:val="668"/>
        </w:trPr>
        <w:tc>
          <w:tcPr>
            <w:tcW w:w="3286" w:type="dxa"/>
            <w:tcBorders>
              <w:top w:val="single" w:sz="4" w:space="0" w:color="000000"/>
              <w:left w:val="single" w:sz="4" w:space="0" w:color="000000"/>
              <w:bottom w:val="single" w:sz="4" w:space="0" w:color="000000"/>
              <w:right w:val="single" w:sz="4" w:space="0" w:color="auto"/>
            </w:tcBorders>
          </w:tcPr>
          <w:p w14:paraId="644FFF63" w14:textId="77777777" w:rsidR="00BE7B0C" w:rsidRPr="0038396E" w:rsidRDefault="00BE7B0C" w:rsidP="00BE7B0C">
            <w:pPr>
              <w:spacing w:before="52"/>
              <w:ind w:left="51"/>
              <w:rPr>
                <w:rFonts w:eastAsia="Arial" w:cstheme="minorHAnsi"/>
              </w:rPr>
            </w:pPr>
            <w:r w:rsidRPr="0038396E">
              <w:rPr>
                <w:rFonts w:eastAsia="Arial" w:cstheme="minorHAnsi"/>
                <w:spacing w:val="1"/>
              </w:rPr>
              <w:t>D</w:t>
            </w:r>
            <w:r w:rsidRPr="0038396E">
              <w:rPr>
                <w:rFonts w:eastAsia="Arial" w:cstheme="minorHAnsi"/>
                <w:spacing w:val="-5"/>
              </w:rPr>
              <w:t>i</w:t>
            </w:r>
            <w:r w:rsidRPr="0038396E">
              <w:rPr>
                <w:rFonts w:eastAsia="Arial" w:cstheme="minorHAnsi"/>
                <w:spacing w:val="2"/>
              </w:rPr>
              <w:t>s</w:t>
            </w:r>
            <w:r w:rsidRPr="0038396E">
              <w:rPr>
                <w:rFonts w:eastAsia="Arial" w:cstheme="minorHAnsi"/>
                <w:spacing w:val="-1"/>
              </w:rPr>
              <w:t>t</w:t>
            </w:r>
            <w:r w:rsidRPr="0038396E">
              <w:rPr>
                <w:rFonts w:eastAsia="Arial" w:cstheme="minorHAnsi"/>
                <w:spacing w:val="2"/>
              </w:rPr>
              <w:t>r</w:t>
            </w:r>
            <w:r w:rsidRPr="0038396E">
              <w:rPr>
                <w:rFonts w:eastAsia="Arial" w:cstheme="minorHAnsi"/>
                <w:spacing w:val="-5"/>
              </w:rPr>
              <w:t>i</w:t>
            </w:r>
            <w:r w:rsidRPr="0038396E">
              <w:rPr>
                <w:rFonts w:eastAsia="Arial" w:cstheme="minorHAnsi"/>
                <w:spacing w:val="2"/>
              </w:rPr>
              <w:t>bu</w:t>
            </w:r>
            <w:r w:rsidRPr="0038396E">
              <w:rPr>
                <w:rFonts w:eastAsia="Arial" w:cstheme="minorHAnsi"/>
                <w:spacing w:val="3"/>
              </w:rPr>
              <w:t>t</w:t>
            </w:r>
            <w:r w:rsidRPr="0038396E">
              <w:rPr>
                <w:rFonts w:eastAsia="Arial" w:cstheme="minorHAnsi"/>
                <w:spacing w:val="-5"/>
              </w:rPr>
              <w:t>i</w:t>
            </w:r>
            <w:r w:rsidRPr="0038396E">
              <w:rPr>
                <w:rFonts w:eastAsia="Arial" w:cstheme="minorHAnsi"/>
                <w:spacing w:val="2"/>
              </w:rPr>
              <w:t>on</w:t>
            </w:r>
            <w:r w:rsidRPr="0038396E">
              <w:rPr>
                <w:rFonts w:eastAsia="Arial" w:cstheme="minorHAnsi"/>
              </w:rPr>
              <w:t>:</w:t>
            </w:r>
          </w:p>
        </w:tc>
        <w:tc>
          <w:tcPr>
            <w:tcW w:w="6237" w:type="dxa"/>
            <w:tcBorders>
              <w:top w:val="single" w:sz="4" w:space="0" w:color="auto"/>
              <w:left w:val="single" w:sz="4" w:space="0" w:color="auto"/>
              <w:bottom w:val="single" w:sz="4" w:space="0" w:color="auto"/>
              <w:right w:val="single" w:sz="4" w:space="0" w:color="auto"/>
            </w:tcBorders>
          </w:tcPr>
          <w:p w14:paraId="6C0557AC" w14:textId="77777777" w:rsidR="00BE7B0C" w:rsidRPr="0038396E" w:rsidRDefault="00BE7B0C" w:rsidP="00BE7B0C">
            <w:pPr>
              <w:rPr>
                <w:rFonts w:eastAsia="Calibri" w:cstheme="minorHAnsi"/>
              </w:rPr>
            </w:pPr>
            <w:r w:rsidRPr="0038396E">
              <w:rPr>
                <w:rFonts w:eastAsia="Calibri" w:cstheme="minorHAnsi"/>
              </w:rPr>
              <w:t>Public - Website</w:t>
            </w:r>
          </w:p>
        </w:tc>
      </w:tr>
    </w:tbl>
    <w:p w14:paraId="2CCF9A71" w14:textId="77777777" w:rsidR="00BE7B0C" w:rsidRPr="0038396E" w:rsidRDefault="00BE7B0C">
      <w:pPr>
        <w:rPr>
          <w:rFonts w:cstheme="minorHAnsi"/>
        </w:rPr>
      </w:pPr>
    </w:p>
    <w:p w14:paraId="73EB0E7F" w14:textId="39542D88" w:rsidR="00BE7B0C" w:rsidRPr="0038396E" w:rsidRDefault="00BE7B0C" w:rsidP="00BE7B0C">
      <w:pPr>
        <w:rPr>
          <w:rFonts w:eastAsia="Calibri" w:cstheme="minorHAnsi"/>
          <w:b/>
          <w:bCs/>
          <w:color w:val="2E74B5"/>
        </w:rPr>
      </w:pPr>
    </w:p>
    <w:p w14:paraId="4156C86F" w14:textId="77777777" w:rsidR="003D2FF3" w:rsidRPr="0038396E" w:rsidRDefault="003D2FF3" w:rsidP="00BE7B0C">
      <w:pPr>
        <w:rPr>
          <w:rFonts w:eastAsia="Calibri" w:cstheme="minorHAnsi"/>
          <w:b/>
          <w:bCs/>
        </w:rPr>
      </w:pPr>
      <w:r w:rsidRPr="0038396E">
        <w:rPr>
          <w:rFonts w:eastAsia="Calibri" w:cstheme="minorHAnsi"/>
          <w:b/>
          <w:bCs/>
        </w:rPr>
        <w:t>Statement of Intent</w:t>
      </w:r>
    </w:p>
    <w:p w14:paraId="1B981E6B" w14:textId="17A8C9EA" w:rsidR="00BE7B0C" w:rsidRPr="0038396E" w:rsidRDefault="00BE7B0C" w:rsidP="00BE7B0C">
      <w:pPr>
        <w:rPr>
          <w:rFonts w:eastAsia="Calibri" w:cstheme="minorHAnsi"/>
        </w:rPr>
      </w:pPr>
      <w:r w:rsidRPr="0038396E">
        <w:rPr>
          <w:rFonts w:eastAsia="Calibri" w:cstheme="minorHAnsi"/>
        </w:rPr>
        <w:t>This policy is underpinned by Sections 42A and 45A of the Education Act 1997, and has due regard to the DfE’s statutory guidance, ‘Careers guidance and access for education and training providers’, which was last updated in July 2021.</w:t>
      </w:r>
    </w:p>
    <w:p w14:paraId="35D3A126" w14:textId="0490B4B0" w:rsidR="00BE7B0C" w:rsidRPr="0038396E" w:rsidRDefault="00BE7B0C" w:rsidP="00BE7B0C">
      <w:pPr>
        <w:rPr>
          <w:rFonts w:eastAsia="Calibri" w:cstheme="minorHAnsi"/>
          <w:i/>
        </w:rPr>
      </w:pPr>
      <w:r w:rsidRPr="0038396E">
        <w:rPr>
          <w:rFonts w:eastAsia="Calibri" w:cstheme="minorHAnsi"/>
        </w:rPr>
        <w:t>The Stockland Green Careers Programme aims to:</w:t>
      </w:r>
    </w:p>
    <w:p w14:paraId="12DA0413" w14:textId="77777777" w:rsidR="00BE7B0C" w:rsidRPr="0038396E" w:rsidRDefault="00BE7B0C" w:rsidP="00BE7B0C">
      <w:pPr>
        <w:numPr>
          <w:ilvl w:val="0"/>
          <w:numId w:val="2"/>
        </w:numPr>
        <w:contextualSpacing/>
        <w:rPr>
          <w:rFonts w:eastAsia="Calibri" w:cstheme="minorHAnsi"/>
        </w:rPr>
      </w:pPr>
      <w:r w:rsidRPr="0038396E">
        <w:rPr>
          <w:rFonts w:eastAsia="Calibri" w:cstheme="minorHAnsi"/>
        </w:rPr>
        <w:t>Fulfil the statutory requirements of the Baker Clause amendment to the Technical and Further Education Act 2017.</w:t>
      </w:r>
    </w:p>
    <w:p w14:paraId="50DB1B80" w14:textId="77777777" w:rsidR="00BE7B0C" w:rsidRPr="0038396E" w:rsidRDefault="00BE7B0C" w:rsidP="00BE7B0C">
      <w:pPr>
        <w:numPr>
          <w:ilvl w:val="0"/>
          <w:numId w:val="2"/>
        </w:numPr>
        <w:contextualSpacing/>
        <w:rPr>
          <w:rFonts w:eastAsia="Calibri" w:cstheme="minorHAnsi"/>
        </w:rPr>
      </w:pPr>
      <w:r w:rsidRPr="0038396E">
        <w:rPr>
          <w:rFonts w:eastAsia="Calibri" w:cstheme="minorHAnsi"/>
        </w:rPr>
        <w:t>Prepare students for their next educational or work-based training pathway &amp; beyond.</w:t>
      </w:r>
    </w:p>
    <w:p w14:paraId="00BAEC19" w14:textId="74B2F3CF" w:rsidR="00BE7B0C" w:rsidRPr="0038396E" w:rsidRDefault="00BE7B0C" w:rsidP="00BE7B0C">
      <w:pPr>
        <w:numPr>
          <w:ilvl w:val="0"/>
          <w:numId w:val="2"/>
        </w:numPr>
        <w:contextualSpacing/>
        <w:rPr>
          <w:rFonts w:eastAsia="Calibri" w:cstheme="minorHAnsi"/>
        </w:rPr>
      </w:pPr>
      <w:r w:rsidRPr="0038396E">
        <w:rPr>
          <w:rFonts w:eastAsia="Calibri" w:cstheme="minorHAnsi"/>
        </w:rPr>
        <w:t>Share the diverse range of ‘next steps’ pathways available at both post 16 transition, including T-Levels, College Courses, Apprenticeships (intermediate, level 2, Advanced, level 3, Higher, level 4 &amp; Degree, levels 5-6), A-Levels.</w:t>
      </w:r>
    </w:p>
    <w:p w14:paraId="1E003275" w14:textId="77777777" w:rsidR="00BE7B0C" w:rsidRPr="0038396E" w:rsidRDefault="00BE7B0C" w:rsidP="00BE7B0C">
      <w:pPr>
        <w:numPr>
          <w:ilvl w:val="0"/>
          <w:numId w:val="2"/>
        </w:numPr>
        <w:contextualSpacing/>
        <w:rPr>
          <w:rFonts w:eastAsia="Calibri" w:cstheme="minorHAnsi"/>
        </w:rPr>
      </w:pPr>
      <w:r w:rsidRPr="0038396E">
        <w:rPr>
          <w:rFonts w:eastAsia="Calibri" w:cstheme="minorHAnsi"/>
        </w:rPr>
        <w:t>Develop an understanding of the workplace environment and employability skills.</w:t>
      </w:r>
    </w:p>
    <w:p w14:paraId="089C6EE7" w14:textId="77777777" w:rsidR="00BE7B0C" w:rsidRPr="0038396E" w:rsidRDefault="00BE7B0C" w:rsidP="00BE7B0C">
      <w:pPr>
        <w:numPr>
          <w:ilvl w:val="0"/>
          <w:numId w:val="2"/>
        </w:numPr>
        <w:contextualSpacing/>
        <w:rPr>
          <w:rFonts w:eastAsia="Calibri" w:cstheme="minorHAnsi"/>
        </w:rPr>
      </w:pPr>
      <w:r w:rsidRPr="0038396E">
        <w:rPr>
          <w:rFonts w:eastAsia="Calibri" w:cstheme="minorHAnsi"/>
        </w:rPr>
        <w:t>Provide a range of opportunities for students to engage with the world of work, further and higher education providers throughout their time at the school.</w:t>
      </w:r>
    </w:p>
    <w:p w14:paraId="74573BF7" w14:textId="77777777" w:rsidR="00BE7B0C" w:rsidRPr="0038396E" w:rsidRDefault="00BE7B0C" w:rsidP="00BE7B0C">
      <w:pPr>
        <w:numPr>
          <w:ilvl w:val="0"/>
          <w:numId w:val="2"/>
        </w:numPr>
        <w:contextualSpacing/>
        <w:rPr>
          <w:rFonts w:eastAsia="Calibri" w:cstheme="minorHAnsi"/>
        </w:rPr>
      </w:pPr>
      <w:r w:rsidRPr="0038396E">
        <w:rPr>
          <w:rFonts w:eastAsia="Calibri" w:cstheme="minorHAnsi"/>
        </w:rPr>
        <w:t>To ensure that students have access to high quality information on careers, job roles and labour market information.</w:t>
      </w:r>
    </w:p>
    <w:p w14:paraId="51A46316" w14:textId="77777777" w:rsidR="00BE7B0C" w:rsidRPr="0038396E" w:rsidRDefault="00BE7B0C" w:rsidP="00BE7B0C">
      <w:pPr>
        <w:numPr>
          <w:ilvl w:val="0"/>
          <w:numId w:val="2"/>
        </w:numPr>
        <w:contextualSpacing/>
        <w:rPr>
          <w:rFonts w:eastAsia="Calibri" w:cstheme="minorHAnsi"/>
        </w:rPr>
      </w:pPr>
      <w:r w:rsidRPr="0038396E">
        <w:rPr>
          <w:rFonts w:eastAsia="Calibri" w:cstheme="minorHAnsi"/>
        </w:rPr>
        <w:t>Offer professional ‘next steps’ guidance to all students with particular targeting of students leaving the Arthur Terry School after year 11, vulnerable, disadvantaged and SEND students.</w:t>
      </w:r>
    </w:p>
    <w:p w14:paraId="2A7A17E3" w14:textId="65C251E8" w:rsidR="00BE7B0C" w:rsidRPr="0038396E" w:rsidRDefault="00BE7B0C" w:rsidP="00BE7B0C">
      <w:pPr>
        <w:numPr>
          <w:ilvl w:val="0"/>
          <w:numId w:val="2"/>
        </w:numPr>
        <w:contextualSpacing/>
        <w:rPr>
          <w:rFonts w:eastAsia="Calibri" w:cstheme="minorHAnsi"/>
        </w:rPr>
      </w:pPr>
      <w:r w:rsidRPr="0038396E">
        <w:rPr>
          <w:rFonts w:eastAsia="Calibri" w:cstheme="minorHAnsi"/>
        </w:rPr>
        <w:t>Early targeted intervention of most vulnerable to NEET year 17 onwards informed by RONI tool data.</w:t>
      </w:r>
    </w:p>
    <w:p w14:paraId="28F33197" w14:textId="77777777" w:rsidR="00BE7B0C" w:rsidRPr="0038396E" w:rsidRDefault="00BE7B0C" w:rsidP="00BE7B0C">
      <w:pPr>
        <w:numPr>
          <w:ilvl w:val="0"/>
          <w:numId w:val="2"/>
        </w:numPr>
        <w:contextualSpacing/>
        <w:rPr>
          <w:rFonts w:eastAsia="Calibri" w:cstheme="minorHAnsi"/>
        </w:rPr>
      </w:pPr>
      <w:r w:rsidRPr="0038396E">
        <w:rPr>
          <w:rFonts w:eastAsia="Calibri" w:cstheme="minorHAnsi"/>
        </w:rPr>
        <w:t>Promoting equality, diversity, social mobility and challenging stereotypes.</w:t>
      </w:r>
    </w:p>
    <w:p w14:paraId="14C22455" w14:textId="77777777" w:rsidR="00BE7B0C" w:rsidRPr="0038396E" w:rsidRDefault="00BE7B0C" w:rsidP="00BE7B0C">
      <w:pPr>
        <w:numPr>
          <w:ilvl w:val="0"/>
          <w:numId w:val="2"/>
        </w:numPr>
        <w:contextualSpacing/>
        <w:rPr>
          <w:rFonts w:eastAsia="Calibri" w:cstheme="minorHAnsi"/>
        </w:rPr>
      </w:pPr>
      <w:r w:rsidRPr="0038396E">
        <w:rPr>
          <w:rFonts w:eastAsia="Calibri" w:cstheme="minorHAnsi"/>
        </w:rPr>
        <w:t>Aiming for students to sustain employability and achieve personal and economic well-being throughout their lives.</w:t>
      </w:r>
    </w:p>
    <w:p w14:paraId="3AF527E8" w14:textId="77777777" w:rsidR="00BE7B0C" w:rsidRPr="0038396E" w:rsidRDefault="00BE7B0C">
      <w:pPr>
        <w:rPr>
          <w:rFonts w:cstheme="minorHAnsi"/>
        </w:rPr>
      </w:pPr>
    </w:p>
    <w:p w14:paraId="23D11AE1" w14:textId="77777777" w:rsidR="007A357F" w:rsidRPr="0038396E" w:rsidRDefault="007A357F">
      <w:pPr>
        <w:rPr>
          <w:rFonts w:cstheme="minorHAnsi"/>
        </w:rPr>
      </w:pPr>
    </w:p>
    <w:p w14:paraId="2CD66B7E" w14:textId="2ADA80B6" w:rsidR="008355DA" w:rsidRPr="0038396E" w:rsidRDefault="008355DA" w:rsidP="008355DA">
      <w:pPr>
        <w:rPr>
          <w:rFonts w:cstheme="minorHAnsi"/>
          <w:b/>
          <w:bCs/>
        </w:rPr>
      </w:pPr>
      <w:r w:rsidRPr="0038396E">
        <w:rPr>
          <w:rFonts w:cstheme="minorHAnsi"/>
          <w:b/>
          <w:bCs/>
        </w:rPr>
        <w:t>Introduction</w:t>
      </w:r>
    </w:p>
    <w:p w14:paraId="003C7C6E" w14:textId="2282D6DA" w:rsidR="008355DA" w:rsidRPr="0038396E" w:rsidRDefault="008355DA" w:rsidP="008355DA">
      <w:pPr>
        <w:rPr>
          <w:rFonts w:cstheme="minorHAnsi"/>
        </w:rPr>
      </w:pPr>
      <w:r w:rsidRPr="0038396E">
        <w:rPr>
          <w:rFonts w:cstheme="minorHAnsi"/>
        </w:rPr>
        <w:t>The world of work is ever changing. Employers are looking for employees who are innovative in their approach to solving problems, who can take initiative, cope with uncertainty and change, be able to communicate well and work effectively in teams. Therefore students need an aspirational career provision that enables them to gain the knowledge, skills, attitudes and attributes required to make informed choices about their education and to help them to be happy and successful in the world of work.</w:t>
      </w:r>
    </w:p>
    <w:p w14:paraId="4F8CDF5B" w14:textId="0C7EF697" w:rsidR="00315E3E" w:rsidRPr="0038396E" w:rsidRDefault="00315E3E" w:rsidP="008355DA">
      <w:pPr>
        <w:rPr>
          <w:rFonts w:cstheme="minorHAnsi"/>
        </w:rPr>
      </w:pPr>
      <w:r w:rsidRPr="0038396E">
        <w:rPr>
          <w:rFonts w:cstheme="minorHAnsi"/>
        </w:rPr>
        <w:t>Stockland Green School is committed to provide a careers education that, for all of our students, fulfils our motto of Aspire, Believe, Achieve.</w:t>
      </w:r>
    </w:p>
    <w:p w14:paraId="71E62254" w14:textId="4D913792" w:rsidR="008355DA" w:rsidRPr="0038396E" w:rsidRDefault="008355DA" w:rsidP="008355DA">
      <w:pPr>
        <w:rPr>
          <w:rFonts w:cstheme="minorHAnsi"/>
        </w:rPr>
      </w:pPr>
    </w:p>
    <w:p w14:paraId="05C90498" w14:textId="77777777" w:rsidR="00BE7B0C" w:rsidRPr="0038396E" w:rsidRDefault="00BE7B0C" w:rsidP="00BE7B0C">
      <w:pPr>
        <w:rPr>
          <w:rFonts w:cstheme="minorHAnsi"/>
        </w:rPr>
      </w:pPr>
      <w:r w:rsidRPr="0038396E">
        <w:rPr>
          <w:rFonts w:cstheme="minorHAnsi"/>
        </w:rPr>
        <w:t>1. LEGAL FRAMEWORK</w:t>
      </w:r>
    </w:p>
    <w:p w14:paraId="0BC1FEE2" w14:textId="77777777" w:rsidR="00BE7B0C" w:rsidRPr="0038396E" w:rsidRDefault="00BE7B0C" w:rsidP="00BE7B0C">
      <w:pPr>
        <w:rPr>
          <w:rFonts w:cstheme="minorHAnsi"/>
        </w:rPr>
      </w:pPr>
      <w:r w:rsidRPr="0038396E">
        <w:rPr>
          <w:rFonts w:cstheme="minorHAnsi"/>
        </w:rPr>
        <w:t>1.1. This policy has due regard to legislation and statutory guidance, including, but not limited to, the following:</w:t>
      </w:r>
    </w:p>
    <w:p w14:paraId="2C5BD867" w14:textId="77777777" w:rsidR="00BE7B0C" w:rsidRPr="0038396E" w:rsidRDefault="00BE7B0C" w:rsidP="00BE7B0C">
      <w:pPr>
        <w:rPr>
          <w:rFonts w:cstheme="minorHAnsi"/>
        </w:rPr>
      </w:pPr>
      <w:r w:rsidRPr="0038396E">
        <w:rPr>
          <w:rFonts w:cstheme="minorHAnsi"/>
        </w:rPr>
        <w:t>•</w:t>
      </w:r>
      <w:r w:rsidRPr="0038396E">
        <w:rPr>
          <w:rFonts w:cstheme="minorHAnsi"/>
        </w:rPr>
        <w:tab/>
        <w:t>Education Act 1997</w:t>
      </w:r>
    </w:p>
    <w:p w14:paraId="5A89B903" w14:textId="77777777" w:rsidR="00BE7B0C" w:rsidRPr="0038396E" w:rsidRDefault="00BE7B0C" w:rsidP="00BE7B0C">
      <w:pPr>
        <w:rPr>
          <w:rFonts w:cstheme="minorHAnsi"/>
        </w:rPr>
      </w:pPr>
      <w:r w:rsidRPr="0038396E">
        <w:rPr>
          <w:rFonts w:cstheme="minorHAnsi"/>
        </w:rPr>
        <w:t>•</w:t>
      </w:r>
      <w:r w:rsidRPr="0038396E">
        <w:rPr>
          <w:rFonts w:cstheme="minorHAnsi"/>
        </w:rPr>
        <w:tab/>
        <w:t>Education and Skills Act 2008</w:t>
      </w:r>
    </w:p>
    <w:p w14:paraId="708BA0DF" w14:textId="77777777" w:rsidR="00BE7B0C" w:rsidRPr="0038396E" w:rsidRDefault="00BE7B0C" w:rsidP="00BE7B0C">
      <w:pPr>
        <w:rPr>
          <w:rFonts w:cstheme="minorHAnsi"/>
        </w:rPr>
      </w:pPr>
      <w:r w:rsidRPr="0038396E">
        <w:rPr>
          <w:rFonts w:cstheme="minorHAnsi"/>
        </w:rPr>
        <w:t>•</w:t>
      </w:r>
      <w:r w:rsidRPr="0038396E">
        <w:rPr>
          <w:rFonts w:cstheme="minorHAnsi"/>
        </w:rPr>
        <w:tab/>
        <w:t>Apprenticeships, Skills, Children and Learning Act 2009</w:t>
      </w:r>
    </w:p>
    <w:p w14:paraId="37A783B9" w14:textId="77777777" w:rsidR="00BE7B0C" w:rsidRPr="0038396E" w:rsidRDefault="00BE7B0C" w:rsidP="00BE7B0C">
      <w:pPr>
        <w:rPr>
          <w:rFonts w:cstheme="minorHAnsi"/>
        </w:rPr>
      </w:pPr>
      <w:r w:rsidRPr="0038396E">
        <w:rPr>
          <w:rFonts w:cstheme="minorHAnsi"/>
        </w:rPr>
        <w:t>•</w:t>
      </w:r>
      <w:r w:rsidRPr="0038396E">
        <w:rPr>
          <w:rFonts w:cstheme="minorHAnsi"/>
        </w:rPr>
        <w:tab/>
        <w:t>Equality Act 2010</w:t>
      </w:r>
    </w:p>
    <w:p w14:paraId="30751BA9" w14:textId="77777777" w:rsidR="00BE7B0C" w:rsidRPr="0038396E" w:rsidRDefault="00BE7B0C" w:rsidP="00BE7B0C">
      <w:pPr>
        <w:rPr>
          <w:rFonts w:cstheme="minorHAnsi"/>
        </w:rPr>
      </w:pPr>
      <w:r w:rsidRPr="0038396E">
        <w:rPr>
          <w:rFonts w:cstheme="minorHAnsi"/>
        </w:rPr>
        <w:t>•</w:t>
      </w:r>
      <w:r w:rsidRPr="0038396E">
        <w:rPr>
          <w:rFonts w:cstheme="minorHAnsi"/>
        </w:rPr>
        <w:tab/>
        <w:t>Children and Families Act 2014</w:t>
      </w:r>
    </w:p>
    <w:p w14:paraId="17B2F8DD" w14:textId="77777777" w:rsidR="00BE7B0C" w:rsidRPr="0038396E" w:rsidRDefault="00BE7B0C" w:rsidP="00BE7B0C">
      <w:pPr>
        <w:rPr>
          <w:rFonts w:cstheme="minorHAnsi"/>
        </w:rPr>
      </w:pPr>
      <w:r w:rsidRPr="0038396E">
        <w:rPr>
          <w:rFonts w:cstheme="minorHAnsi"/>
        </w:rPr>
        <w:t>•</w:t>
      </w:r>
      <w:r w:rsidRPr="0038396E">
        <w:rPr>
          <w:rFonts w:cstheme="minorHAnsi"/>
        </w:rPr>
        <w:tab/>
        <w:t>Technical and Further Education Act 2017</w:t>
      </w:r>
    </w:p>
    <w:p w14:paraId="4802014A" w14:textId="77777777" w:rsidR="00BE7B0C" w:rsidRPr="0038396E" w:rsidRDefault="00BE7B0C" w:rsidP="00BE7B0C">
      <w:pPr>
        <w:rPr>
          <w:rFonts w:cstheme="minorHAnsi"/>
        </w:rPr>
      </w:pPr>
      <w:r w:rsidRPr="0038396E">
        <w:rPr>
          <w:rFonts w:cstheme="minorHAnsi"/>
        </w:rPr>
        <w:t>•</w:t>
      </w:r>
      <w:r w:rsidRPr="0038396E">
        <w:rPr>
          <w:rFonts w:cstheme="minorHAnsi"/>
        </w:rPr>
        <w:tab/>
        <w:t>Careers guidance and access for education and training providers 2021</w:t>
      </w:r>
    </w:p>
    <w:p w14:paraId="0FF846E8" w14:textId="77777777" w:rsidR="00BE7B0C" w:rsidRPr="0038396E" w:rsidRDefault="00BE7B0C" w:rsidP="00BE7B0C">
      <w:pPr>
        <w:rPr>
          <w:rFonts w:cstheme="minorHAnsi"/>
        </w:rPr>
      </w:pPr>
    </w:p>
    <w:p w14:paraId="42C4EFA6" w14:textId="77777777" w:rsidR="00BE7B0C" w:rsidRPr="0038396E" w:rsidRDefault="00BE7B0C" w:rsidP="00BE7B0C">
      <w:pPr>
        <w:rPr>
          <w:rFonts w:cstheme="minorHAnsi"/>
        </w:rPr>
      </w:pPr>
      <w:r w:rsidRPr="0038396E">
        <w:rPr>
          <w:rFonts w:cstheme="minorHAnsi"/>
        </w:rPr>
        <w:t>2. ROLES AND RESPONSIBILITIES</w:t>
      </w:r>
    </w:p>
    <w:p w14:paraId="182A8415" w14:textId="19811506" w:rsidR="00BE7B0C" w:rsidRPr="0038396E" w:rsidRDefault="00BE7B0C" w:rsidP="00BE7B0C">
      <w:pPr>
        <w:rPr>
          <w:rFonts w:cstheme="minorHAnsi"/>
        </w:rPr>
      </w:pPr>
      <w:r w:rsidRPr="0038396E">
        <w:rPr>
          <w:rFonts w:cstheme="minorHAnsi"/>
        </w:rPr>
        <w:t xml:space="preserve">2.1. The Arthur Terry Learning Partnership and Head Teacher, Mrs </w:t>
      </w:r>
      <w:r w:rsidR="00B040C7" w:rsidRPr="0038396E">
        <w:rPr>
          <w:rFonts w:cstheme="minorHAnsi"/>
        </w:rPr>
        <w:t>George</w:t>
      </w:r>
      <w:r w:rsidRPr="0038396E">
        <w:rPr>
          <w:rFonts w:cstheme="minorHAnsi"/>
        </w:rPr>
        <w:t xml:space="preserve"> are responsible for:</w:t>
      </w:r>
    </w:p>
    <w:p w14:paraId="3219C5C3" w14:textId="39126D40" w:rsidR="00BE7B0C" w:rsidRPr="0038396E" w:rsidRDefault="00BE7B0C" w:rsidP="00BE7B0C">
      <w:pPr>
        <w:rPr>
          <w:rFonts w:cstheme="minorHAnsi"/>
        </w:rPr>
      </w:pPr>
      <w:r w:rsidRPr="0038396E">
        <w:rPr>
          <w:rFonts w:cstheme="minorHAnsi"/>
        </w:rPr>
        <w:t>•</w:t>
      </w:r>
      <w:r w:rsidRPr="0038396E">
        <w:rPr>
          <w:rFonts w:cstheme="minorHAnsi"/>
        </w:rPr>
        <w:tab/>
        <w:t>Ensuring that all registered students are provided with independent careers guidance from Year 7 to Year 1</w:t>
      </w:r>
      <w:r w:rsidR="00B040C7" w:rsidRPr="0038396E">
        <w:rPr>
          <w:rFonts w:cstheme="minorHAnsi"/>
        </w:rPr>
        <w:t>1</w:t>
      </w:r>
      <w:r w:rsidRPr="0038396E">
        <w:rPr>
          <w:rFonts w:cstheme="minorHAnsi"/>
        </w:rPr>
        <w:t>+</w:t>
      </w:r>
    </w:p>
    <w:p w14:paraId="21C4A328" w14:textId="77777777" w:rsidR="00BE7B0C" w:rsidRPr="0038396E" w:rsidRDefault="00BE7B0C" w:rsidP="00BE7B0C">
      <w:pPr>
        <w:rPr>
          <w:rFonts w:cstheme="minorHAnsi"/>
        </w:rPr>
      </w:pPr>
      <w:r w:rsidRPr="0038396E">
        <w:rPr>
          <w:rFonts w:cstheme="minorHAnsi"/>
        </w:rPr>
        <w:t>•</w:t>
      </w:r>
      <w:r w:rsidRPr="0038396E">
        <w:rPr>
          <w:rFonts w:cstheme="minorHAnsi"/>
        </w:rPr>
        <w:tab/>
        <w:t>Ensuring that arrangements are in place to allow a range of education and training providers to access all students in this range and inform them about approved technical education qualifications and apprenticeships.</w:t>
      </w:r>
    </w:p>
    <w:p w14:paraId="0FB3FCCB" w14:textId="77777777" w:rsidR="00BE7B0C" w:rsidRPr="0038396E" w:rsidRDefault="00BE7B0C" w:rsidP="00BE7B0C">
      <w:pPr>
        <w:rPr>
          <w:rFonts w:cstheme="minorHAnsi"/>
        </w:rPr>
      </w:pPr>
      <w:r w:rsidRPr="0038396E">
        <w:rPr>
          <w:rFonts w:cstheme="minorHAnsi"/>
        </w:rPr>
        <w:t>•</w:t>
      </w:r>
      <w:r w:rsidRPr="0038396E">
        <w:rPr>
          <w:rFonts w:cstheme="minorHAnsi"/>
        </w:rPr>
        <w:tab/>
        <w:t>Ensuring that the independent careers guidance is presented in an impartial manner, showing no bias or favouritism towards a particular institution, education or work option.</w:t>
      </w:r>
    </w:p>
    <w:p w14:paraId="06F5A143" w14:textId="77777777" w:rsidR="00BE7B0C" w:rsidRPr="0038396E" w:rsidRDefault="00BE7B0C" w:rsidP="00BE7B0C">
      <w:pPr>
        <w:rPr>
          <w:rFonts w:cstheme="minorHAnsi"/>
        </w:rPr>
      </w:pPr>
      <w:r w:rsidRPr="0038396E">
        <w:rPr>
          <w:rFonts w:cstheme="minorHAnsi"/>
        </w:rPr>
        <w:t>•</w:t>
      </w:r>
      <w:r w:rsidRPr="0038396E">
        <w:rPr>
          <w:rFonts w:cstheme="minorHAnsi"/>
        </w:rPr>
        <w:tab/>
        <w:t>Ensuring that the guidance includes information on the range of education or training options, including apprenticeships and technical education routes.</w:t>
      </w:r>
    </w:p>
    <w:p w14:paraId="18382C95" w14:textId="77777777" w:rsidR="00BE7B0C" w:rsidRPr="0038396E" w:rsidRDefault="00BE7B0C" w:rsidP="00BE7B0C">
      <w:pPr>
        <w:rPr>
          <w:rFonts w:cstheme="minorHAnsi"/>
        </w:rPr>
      </w:pPr>
      <w:r w:rsidRPr="0038396E">
        <w:rPr>
          <w:rFonts w:cstheme="minorHAnsi"/>
        </w:rPr>
        <w:t>•</w:t>
      </w:r>
      <w:r w:rsidRPr="0038396E">
        <w:rPr>
          <w:rFonts w:cstheme="minorHAnsi"/>
        </w:rPr>
        <w:tab/>
        <w:t>Ensuring the Careers Policy does not discriminate on any grounds, including but not limited to: ethnicity/national origin, culture, religion, gender, disability or sexual orientation.</w:t>
      </w:r>
    </w:p>
    <w:p w14:paraId="3E130E2C" w14:textId="77777777" w:rsidR="00BE7B0C" w:rsidRPr="0038396E" w:rsidRDefault="00BE7B0C" w:rsidP="00BE7B0C">
      <w:pPr>
        <w:rPr>
          <w:rFonts w:cstheme="minorHAnsi"/>
        </w:rPr>
      </w:pPr>
      <w:r w:rsidRPr="0038396E">
        <w:rPr>
          <w:rFonts w:cstheme="minorHAnsi"/>
        </w:rPr>
        <w:t>•</w:t>
      </w:r>
      <w:r w:rsidRPr="0038396E">
        <w:rPr>
          <w:rFonts w:cstheme="minorHAnsi"/>
        </w:rPr>
        <w:tab/>
        <w:t>Handling complaints regarding this policy as outlined in the school’s Complaints and Procedures Policy.</w:t>
      </w:r>
    </w:p>
    <w:p w14:paraId="7C1370BE" w14:textId="77777777" w:rsidR="00BE7B0C" w:rsidRPr="0038396E" w:rsidRDefault="00BE7B0C" w:rsidP="00BE7B0C">
      <w:pPr>
        <w:rPr>
          <w:rFonts w:cstheme="minorHAnsi"/>
        </w:rPr>
      </w:pPr>
      <w:r w:rsidRPr="0038396E">
        <w:rPr>
          <w:rFonts w:cstheme="minorHAnsi"/>
        </w:rPr>
        <w:t>•</w:t>
      </w:r>
      <w:r w:rsidRPr="0038396E">
        <w:rPr>
          <w:rFonts w:cstheme="minorHAnsi"/>
        </w:rPr>
        <w:tab/>
        <w:t>Organising an annual, Careers-focussed, Governors Meeting reviewing the progress towards</w:t>
      </w:r>
    </w:p>
    <w:p w14:paraId="70AFF529" w14:textId="77777777" w:rsidR="00B040C7" w:rsidRPr="0038396E" w:rsidRDefault="00B040C7" w:rsidP="00BE7B0C">
      <w:pPr>
        <w:rPr>
          <w:rFonts w:cstheme="minorHAnsi"/>
        </w:rPr>
      </w:pPr>
    </w:p>
    <w:p w14:paraId="10D92329" w14:textId="105D91D3" w:rsidR="00BE7B0C" w:rsidRPr="0038396E" w:rsidRDefault="00BE7B0C" w:rsidP="00BE7B0C">
      <w:pPr>
        <w:rPr>
          <w:rFonts w:cstheme="minorHAnsi"/>
        </w:rPr>
      </w:pPr>
      <w:r w:rsidRPr="0038396E">
        <w:rPr>
          <w:rFonts w:cstheme="minorHAnsi"/>
        </w:rPr>
        <w:t xml:space="preserve">2.2. The </w:t>
      </w:r>
      <w:r w:rsidR="00B040C7" w:rsidRPr="0038396E">
        <w:rPr>
          <w:rFonts w:cstheme="minorHAnsi"/>
        </w:rPr>
        <w:t>careers lead</w:t>
      </w:r>
      <w:r w:rsidRPr="0038396E">
        <w:rPr>
          <w:rFonts w:cstheme="minorHAnsi"/>
        </w:rPr>
        <w:t xml:space="preserve"> (</w:t>
      </w:r>
      <w:r w:rsidR="00B040C7" w:rsidRPr="0038396E">
        <w:rPr>
          <w:rFonts w:cstheme="minorHAnsi"/>
        </w:rPr>
        <w:t>Miss Katerina Lee</w:t>
      </w:r>
      <w:r w:rsidRPr="0038396E">
        <w:rPr>
          <w:rFonts w:cstheme="minorHAnsi"/>
        </w:rPr>
        <w:t>) is responsible for:</w:t>
      </w:r>
    </w:p>
    <w:p w14:paraId="7526925D" w14:textId="6FFFB6E5" w:rsidR="00BE7B0C" w:rsidRPr="0038396E" w:rsidRDefault="00BE7B0C" w:rsidP="00BE7B0C">
      <w:pPr>
        <w:rPr>
          <w:rFonts w:cstheme="minorHAnsi"/>
        </w:rPr>
      </w:pPr>
      <w:r w:rsidRPr="0038396E">
        <w:rPr>
          <w:rFonts w:cstheme="minorHAnsi"/>
        </w:rPr>
        <w:t>•</w:t>
      </w:r>
      <w:r w:rsidRPr="0038396E">
        <w:rPr>
          <w:rFonts w:cstheme="minorHAnsi"/>
        </w:rPr>
        <w:tab/>
        <w:t xml:space="preserve">Reviewing and revising where appropriate, this policy on </w:t>
      </w:r>
      <w:proofErr w:type="spellStart"/>
      <w:r w:rsidRPr="0038396E">
        <w:rPr>
          <w:rFonts w:cstheme="minorHAnsi"/>
        </w:rPr>
        <w:t>a</w:t>
      </w:r>
      <w:proofErr w:type="spellEnd"/>
      <w:r w:rsidRPr="0038396E">
        <w:rPr>
          <w:rFonts w:cstheme="minorHAnsi"/>
        </w:rPr>
        <w:t xml:space="preserve"> annual basis.</w:t>
      </w:r>
    </w:p>
    <w:p w14:paraId="63C9FC02" w14:textId="72CA7000" w:rsidR="00BE7B0C" w:rsidRPr="0038396E" w:rsidRDefault="00BE7B0C" w:rsidP="00BE7B0C">
      <w:pPr>
        <w:rPr>
          <w:rFonts w:cstheme="minorHAnsi"/>
        </w:rPr>
      </w:pPr>
      <w:r w:rsidRPr="0038396E">
        <w:rPr>
          <w:rFonts w:cstheme="minorHAnsi"/>
        </w:rPr>
        <w:t>•</w:t>
      </w:r>
      <w:r w:rsidRPr="0038396E">
        <w:rPr>
          <w:rFonts w:cstheme="minorHAnsi"/>
        </w:rPr>
        <w:tab/>
        <w:t>Preparing and implementing a development plan for CEIAG</w:t>
      </w:r>
      <w:r w:rsidR="00B040C7" w:rsidRPr="0038396E">
        <w:rPr>
          <w:rFonts w:cstheme="minorHAnsi"/>
        </w:rPr>
        <w:t>s</w:t>
      </w:r>
    </w:p>
    <w:p w14:paraId="56D5CD3D" w14:textId="77777777" w:rsidR="00BE7B0C" w:rsidRPr="0038396E" w:rsidRDefault="00BE7B0C" w:rsidP="00BE7B0C">
      <w:pPr>
        <w:rPr>
          <w:rFonts w:cstheme="minorHAnsi"/>
        </w:rPr>
      </w:pPr>
      <w:r w:rsidRPr="0038396E">
        <w:rPr>
          <w:rFonts w:cstheme="minorHAnsi"/>
        </w:rPr>
        <w:t>•</w:t>
      </w:r>
      <w:r w:rsidRPr="0038396E">
        <w:rPr>
          <w:rFonts w:cstheme="minorHAnsi"/>
        </w:rPr>
        <w:tab/>
        <w:t>Reviewing and evaluating the programme of CEIAG.</w:t>
      </w:r>
    </w:p>
    <w:p w14:paraId="632F884E" w14:textId="77777777" w:rsidR="00BE7B0C" w:rsidRPr="0038396E" w:rsidRDefault="00BE7B0C" w:rsidP="00BE7B0C">
      <w:pPr>
        <w:rPr>
          <w:rFonts w:cstheme="minorHAnsi"/>
        </w:rPr>
      </w:pPr>
      <w:r w:rsidRPr="0038396E">
        <w:rPr>
          <w:rFonts w:cstheme="minorHAnsi"/>
        </w:rPr>
        <w:t>•</w:t>
      </w:r>
      <w:r w:rsidRPr="0038396E">
        <w:rPr>
          <w:rFonts w:cstheme="minorHAnsi"/>
        </w:rPr>
        <w:tab/>
        <w:t>Supporting subject teachers with careers education and pastoral tutors providing initial information and advice.</w:t>
      </w:r>
    </w:p>
    <w:p w14:paraId="318D0ECC" w14:textId="77777777" w:rsidR="00BE7B0C" w:rsidRPr="0038396E" w:rsidRDefault="00BE7B0C" w:rsidP="00BE7B0C">
      <w:pPr>
        <w:rPr>
          <w:rFonts w:cstheme="minorHAnsi"/>
        </w:rPr>
      </w:pPr>
      <w:r w:rsidRPr="0038396E">
        <w:rPr>
          <w:rFonts w:cstheme="minorHAnsi"/>
        </w:rPr>
        <w:t>•</w:t>
      </w:r>
      <w:r w:rsidRPr="0038396E">
        <w:rPr>
          <w:rFonts w:cstheme="minorHAnsi"/>
        </w:rPr>
        <w:tab/>
        <w:t>Monitoring teaching and learning in careers education, and the access to and take up of career guidance.</w:t>
      </w:r>
    </w:p>
    <w:p w14:paraId="0B7D889F" w14:textId="77777777" w:rsidR="00BE7B0C" w:rsidRPr="0038396E" w:rsidRDefault="00BE7B0C" w:rsidP="00BE7B0C">
      <w:pPr>
        <w:rPr>
          <w:rFonts w:cstheme="minorHAnsi"/>
        </w:rPr>
      </w:pPr>
      <w:r w:rsidRPr="0038396E">
        <w:rPr>
          <w:rFonts w:cstheme="minorHAnsi"/>
        </w:rPr>
        <w:t>•</w:t>
      </w:r>
      <w:r w:rsidRPr="0038396E">
        <w:rPr>
          <w:rFonts w:cstheme="minorHAnsi"/>
        </w:rPr>
        <w:tab/>
        <w:t>Publishing details of the school’s careers programme and a policy statement on provider access on its website.</w:t>
      </w:r>
    </w:p>
    <w:p w14:paraId="2F4DEBB1" w14:textId="79006573" w:rsidR="00B040C7" w:rsidRPr="0038396E" w:rsidRDefault="00BE7B0C" w:rsidP="00B040C7">
      <w:pPr>
        <w:rPr>
          <w:rFonts w:cstheme="minorHAnsi"/>
        </w:rPr>
      </w:pPr>
      <w:r w:rsidRPr="0038396E">
        <w:rPr>
          <w:rFonts w:cstheme="minorHAnsi"/>
        </w:rPr>
        <w:t>•</w:t>
      </w:r>
      <w:r w:rsidRPr="0038396E">
        <w:rPr>
          <w:rFonts w:cstheme="minorHAnsi"/>
        </w:rPr>
        <w:tab/>
        <w:t xml:space="preserve">Attending regular meetings with Careers Line Manager, </w:t>
      </w:r>
      <w:r w:rsidR="00B040C7" w:rsidRPr="0038396E">
        <w:rPr>
          <w:rFonts w:cstheme="minorHAnsi"/>
        </w:rPr>
        <w:t>Mrs Rebecca Goode</w:t>
      </w:r>
      <w:r w:rsidRPr="0038396E">
        <w:rPr>
          <w:rFonts w:cstheme="minorHAnsi"/>
        </w:rPr>
        <w:t xml:space="preserve"> (</w:t>
      </w:r>
      <w:r w:rsidR="00B040C7" w:rsidRPr="0038396E">
        <w:rPr>
          <w:rFonts w:cstheme="minorHAnsi"/>
        </w:rPr>
        <w:t>Deputy</w:t>
      </w:r>
      <w:r w:rsidRPr="0038396E">
        <w:rPr>
          <w:rFonts w:cstheme="minorHAnsi"/>
        </w:rPr>
        <w:t xml:space="preserve"> Head Teacher) and Mrs </w:t>
      </w:r>
      <w:r w:rsidR="00B040C7" w:rsidRPr="0038396E">
        <w:rPr>
          <w:rFonts w:cstheme="minorHAnsi"/>
        </w:rPr>
        <w:t>Marie George</w:t>
      </w:r>
      <w:r w:rsidRPr="0038396E">
        <w:rPr>
          <w:rFonts w:cstheme="minorHAnsi"/>
        </w:rPr>
        <w:t xml:space="preserve"> to plan and evaluate implementation of the school’s career plan and ensuring effective and independent professional careers guidance.</w:t>
      </w:r>
    </w:p>
    <w:p w14:paraId="5B57BBC4" w14:textId="77777777" w:rsidR="00B040C7" w:rsidRPr="0038396E" w:rsidRDefault="00B040C7" w:rsidP="00B040C7">
      <w:pPr>
        <w:rPr>
          <w:rFonts w:cstheme="minorHAnsi"/>
        </w:rPr>
      </w:pPr>
      <w:r w:rsidRPr="0038396E">
        <w:rPr>
          <w:rFonts w:cstheme="minorHAnsi"/>
        </w:rPr>
        <w:t>•</w:t>
      </w:r>
      <w:r w:rsidRPr="0038396E">
        <w:rPr>
          <w:rFonts w:cstheme="minorHAnsi"/>
        </w:rPr>
        <w:tab/>
        <w:t>Working with students and staff to raise aspirations about future education/ career pathways through provision of accurate and up to date information, advice and guidance.</w:t>
      </w:r>
    </w:p>
    <w:p w14:paraId="4352970F" w14:textId="77777777" w:rsidR="00B040C7" w:rsidRPr="0038396E" w:rsidRDefault="00B040C7" w:rsidP="00B040C7">
      <w:pPr>
        <w:rPr>
          <w:rFonts w:cstheme="minorHAnsi"/>
        </w:rPr>
      </w:pPr>
      <w:r w:rsidRPr="0038396E">
        <w:rPr>
          <w:rFonts w:cstheme="minorHAnsi"/>
        </w:rPr>
        <w:t>•</w:t>
      </w:r>
      <w:r w:rsidRPr="0038396E">
        <w:rPr>
          <w:rFonts w:cstheme="minorHAnsi"/>
        </w:rPr>
        <w:tab/>
        <w:t>Ensuring that every student has access to impartial information, advice and guidance.</w:t>
      </w:r>
    </w:p>
    <w:p w14:paraId="2D18FB7C" w14:textId="0AE275FE" w:rsidR="00B040C7" w:rsidRPr="0038396E" w:rsidRDefault="00B040C7" w:rsidP="00B040C7">
      <w:pPr>
        <w:rPr>
          <w:rFonts w:cstheme="minorHAnsi"/>
        </w:rPr>
      </w:pPr>
      <w:r w:rsidRPr="0038396E">
        <w:rPr>
          <w:rFonts w:cstheme="minorHAnsi"/>
        </w:rPr>
        <w:t>•</w:t>
      </w:r>
      <w:r w:rsidRPr="0038396E">
        <w:rPr>
          <w:rFonts w:cstheme="minorHAnsi"/>
        </w:rPr>
        <w:tab/>
        <w:t>Following up with school leavers to identify student pathways, identifying and supporting NEET students and providing monitoring data.</w:t>
      </w:r>
    </w:p>
    <w:p w14:paraId="3274968B" w14:textId="77777777" w:rsidR="00B040C7" w:rsidRPr="0038396E" w:rsidRDefault="00B040C7" w:rsidP="00B040C7">
      <w:pPr>
        <w:rPr>
          <w:rFonts w:cstheme="minorHAnsi"/>
        </w:rPr>
      </w:pPr>
      <w:r w:rsidRPr="0038396E">
        <w:rPr>
          <w:rFonts w:cstheme="minorHAnsi"/>
        </w:rPr>
        <w:t>•</w:t>
      </w:r>
      <w:r w:rsidRPr="0038396E">
        <w:rPr>
          <w:rFonts w:cstheme="minorHAnsi"/>
        </w:rPr>
        <w:tab/>
        <w:t>Helping to organise a range of careers events both within and outside the normal school day.</w:t>
      </w:r>
    </w:p>
    <w:p w14:paraId="68D18E40" w14:textId="2BF9CA15" w:rsidR="00B040C7" w:rsidRPr="0038396E" w:rsidRDefault="00B040C7" w:rsidP="00B040C7">
      <w:pPr>
        <w:rPr>
          <w:rFonts w:cstheme="minorHAnsi"/>
        </w:rPr>
      </w:pPr>
      <w:r w:rsidRPr="0038396E">
        <w:rPr>
          <w:rFonts w:cstheme="minorHAnsi"/>
        </w:rPr>
        <w:t>•</w:t>
      </w:r>
      <w:r w:rsidRPr="0038396E">
        <w:rPr>
          <w:rFonts w:cstheme="minorHAnsi"/>
        </w:rPr>
        <w:tab/>
        <w:t xml:space="preserve">Liaising with Heads of </w:t>
      </w:r>
      <w:proofErr w:type="spellStart"/>
      <w:r w:rsidRPr="0038396E">
        <w:rPr>
          <w:rFonts w:cstheme="minorHAnsi"/>
        </w:rPr>
        <w:t>Facultys</w:t>
      </w:r>
      <w:proofErr w:type="spellEnd"/>
      <w:r w:rsidRPr="0038396E">
        <w:rPr>
          <w:rFonts w:cstheme="minorHAnsi"/>
        </w:rPr>
        <w:t xml:space="preserve"> and House Leaders to prepare, resource and deliver bespoke independent careers guidance.</w:t>
      </w:r>
    </w:p>
    <w:p w14:paraId="28CA4047" w14:textId="7210A38E" w:rsidR="00B040C7" w:rsidRPr="0038396E" w:rsidRDefault="00B040C7" w:rsidP="00B040C7">
      <w:pPr>
        <w:rPr>
          <w:rFonts w:cstheme="minorHAnsi"/>
        </w:rPr>
      </w:pPr>
    </w:p>
    <w:p w14:paraId="2FA5E1CB" w14:textId="77777777" w:rsidR="00B040C7" w:rsidRPr="0038396E" w:rsidRDefault="00B040C7" w:rsidP="00B040C7">
      <w:pPr>
        <w:rPr>
          <w:rFonts w:cstheme="minorHAnsi"/>
        </w:rPr>
      </w:pPr>
      <w:r w:rsidRPr="0038396E">
        <w:rPr>
          <w:rFonts w:cstheme="minorHAnsi"/>
        </w:rPr>
        <w:t>3. A STABLE CAREERS PROGRAMME</w:t>
      </w:r>
    </w:p>
    <w:p w14:paraId="09D3F2A1" w14:textId="17C2D47B" w:rsidR="00B040C7" w:rsidRPr="0038396E" w:rsidRDefault="00B040C7" w:rsidP="00B040C7">
      <w:pPr>
        <w:rPr>
          <w:rFonts w:cstheme="minorHAnsi"/>
        </w:rPr>
      </w:pPr>
      <w:r w:rsidRPr="0038396E">
        <w:rPr>
          <w:rFonts w:cstheme="minorHAnsi"/>
        </w:rPr>
        <w:t xml:space="preserve">3.1. Stockland Green has a Careers Education programme in place which meets the requirements of the Gatsby Benchmarks. The programme is reviewed annually against the benchmarks to ensure it remains on target. </w:t>
      </w:r>
    </w:p>
    <w:p w14:paraId="230FC1B6" w14:textId="10608863" w:rsidR="00B040C7" w:rsidRPr="0038396E" w:rsidRDefault="00B040C7" w:rsidP="00B040C7">
      <w:pPr>
        <w:rPr>
          <w:rFonts w:cstheme="minorHAnsi"/>
        </w:rPr>
      </w:pPr>
      <w:r w:rsidRPr="0038396E">
        <w:rPr>
          <w:rFonts w:cstheme="minorHAnsi"/>
        </w:rPr>
        <w:t>3.2. The Careers Lead (Miss Katerina Lee) ensures the coordination of a high-quality careers programme. The name and contact details of the Careers Leader are published on the school’s website.</w:t>
      </w:r>
    </w:p>
    <w:p w14:paraId="035F6E88" w14:textId="19E31EC1" w:rsidR="00B040C7" w:rsidRPr="0038396E" w:rsidRDefault="00B040C7" w:rsidP="00B040C7">
      <w:pPr>
        <w:rPr>
          <w:rFonts w:cstheme="minorHAnsi"/>
        </w:rPr>
      </w:pPr>
      <w:r w:rsidRPr="0038396E">
        <w:rPr>
          <w:rFonts w:cstheme="minorHAnsi"/>
        </w:rPr>
        <w:t xml:space="preserve">3.3. The </w:t>
      </w:r>
      <w:r w:rsidR="00183F11" w:rsidRPr="0038396E">
        <w:rPr>
          <w:rFonts w:cstheme="minorHAnsi"/>
        </w:rPr>
        <w:t>Careers Lead</w:t>
      </w:r>
      <w:r w:rsidRPr="0038396E">
        <w:rPr>
          <w:rFonts w:cstheme="minorHAnsi"/>
        </w:rPr>
        <w:t xml:space="preserve"> regularly works with Careers Enterprise Coordinators to build careers and employer engagement plans to broaden the range of guidance that students have access to.</w:t>
      </w:r>
    </w:p>
    <w:p w14:paraId="391F8A29" w14:textId="0A041BA4" w:rsidR="00183F11" w:rsidRPr="0038396E" w:rsidRDefault="00183F11" w:rsidP="00B040C7">
      <w:pPr>
        <w:rPr>
          <w:rFonts w:cstheme="minorHAnsi"/>
        </w:rPr>
      </w:pPr>
    </w:p>
    <w:p w14:paraId="5AA526C3" w14:textId="0CCCEBEC" w:rsidR="00183F11" w:rsidRPr="0038396E" w:rsidRDefault="00183F11" w:rsidP="00B040C7">
      <w:pPr>
        <w:rPr>
          <w:rFonts w:cstheme="minorHAnsi"/>
        </w:rPr>
      </w:pPr>
    </w:p>
    <w:p w14:paraId="46253FD9" w14:textId="77777777" w:rsidR="00183F11" w:rsidRPr="0038396E" w:rsidRDefault="00183F11" w:rsidP="00183F11">
      <w:pPr>
        <w:rPr>
          <w:rFonts w:cstheme="minorHAnsi"/>
        </w:rPr>
      </w:pPr>
      <w:r w:rsidRPr="0038396E">
        <w:rPr>
          <w:rFonts w:cstheme="minorHAnsi"/>
        </w:rPr>
        <w:t>4. LEARNING FROM CAREER AND LABOUR MARKET INFORMATION</w:t>
      </w:r>
    </w:p>
    <w:p w14:paraId="1E0F4831" w14:textId="77777777" w:rsidR="00183F11" w:rsidRPr="0038396E" w:rsidRDefault="00183F11" w:rsidP="00183F11">
      <w:pPr>
        <w:rPr>
          <w:rFonts w:cstheme="minorHAnsi"/>
        </w:rPr>
      </w:pPr>
      <w:r w:rsidRPr="0038396E">
        <w:rPr>
          <w:rFonts w:cstheme="minorHAnsi"/>
        </w:rPr>
        <w:t>The Careers Leader:</w:t>
      </w:r>
    </w:p>
    <w:p w14:paraId="4B5149E8" w14:textId="38F4D7E1" w:rsidR="00183F11" w:rsidRPr="0038396E" w:rsidRDefault="00183F11" w:rsidP="00183F11">
      <w:pPr>
        <w:rPr>
          <w:rFonts w:cstheme="minorHAnsi"/>
        </w:rPr>
      </w:pPr>
      <w:r w:rsidRPr="0038396E">
        <w:rPr>
          <w:rFonts w:cstheme="minorHAnsi"/>
        </w:rPr>
        <w:t>4.1. Ensures that students and families have support and guidance in accessing and using information, primarily via the school’s careers lead.</w:t>
      </w:r>
    </w:p>
    <w:p w14:paraId="088D1569" w14:textId="02B77203" w:rsidR="00183F11" w:rsidRPr="0038396E" w:rsidRDefault="00183F11" w:rsidP="00183F11">
      <w:pPr>
        <w:rPr>
          <w:rFonts w:cstheme="minorHAnsi"/>
        </w:rPr>
      </w:pPr>
      <w:r w:rsidRPr="0038396E">
        <w:rPr>
          <w:rFonts w:cstheme="minorHAnsi"/>
        </w:rPr>
        <w:t>4.2. Ensures that every student and their families have access to good quality information about future study options post 16 and labour market opportunities including careers, job roles, example salary expectations and job opportunities. Online resources on the school website.</w:t>
      </w:r>
    </w:p>
    <w:p w14:paraId="2C83717C" w14:textId="3E301AAB" w:rsidR="00183F11" w:rsidRPr="0038396E" w:rsidRDefault="00183F11" w:rsidP="00183F11">
      <w:pPr>
        <w:rPr>
          <w:rFonts w:cstheme="minorHAnsi"/>
        </w:rPr>
      </w:pPr>
      <w:r w:rsidRPr="0038396E">
        <w:rPr>
          <w:rFonts w:cstheme="minorHAnsi"/>
        </w:rPr>
        <w:t>4.3. Ensures that all students, by the age of 14, have accessed and used information about career paths and the labour market to inform their decisions on study options, particularly through the year 9 Options Process, guidance documentation and parental information evening.</w:t>
      </w:r>
    </w:p>
    <w:p w14:paraId="567BD914" w14:textId="6843AEA1" w:rsidR="00183F11" w:rsidRPr="0038396E" w:rsidRDefault="00183F11" w:rsidP="00183F11">
      <w:pPr>
        <w:rPr>
          <w:rFonts w:cstheme="minorHAnsi"/>
        </w:rPr>
      </w:pPr>
    </w:p>
    <w:p w14:paraId="055150D4" w14:textId="77777777" w:rsidR="00183F11" w:rsidRPr="0038396E" w:rsidRDefault="00183F11" w:rsidP="00183F11">
      <w:pPr>
        <w:rPr>
          <w:rFonts w:cstheme="minorHAnsi"/>
        </w:rPr>
      </w:pPr>
      <w:r w:rsidRPr="0038396E">
        <w:rPr>
          <w:rFonts w:cstheme="minorHAnsi"/>
        </w:rPr>
        <w:t>5. ADDRESSING THE NEEDS OF STUDENTS</w:t>
      </w:r>
    </w:p>
    <w:p w14:paraId="1B967649" w14:textId="18F98D24" w:rsidR="00183F11" w:rsidRPr="0038396E" w:rsidRDefault="00183F11" w:rsidP="00183F11">
      <w:pPr>
        <w:rPr>
          <w:rFonts w:cstheme="minorHAnsi"/>
        </w:rPr>
      </w:pPr>
      <w:r w:rsidRPr="0038396E">
        <w:rPr>
          <w:rFonts w:cstheme="minorHAnsi"/>
        </w:rPr>
        <w:t xml:space="preserve">5.1. </w:t>
      </w:r>
      <w:r w:rsidR="009F69EA" w:rsidRPr="0038396E">
        <w:rPr>
          <w:rFonts w:cstheme="minorHAnsi"/>
        </w:rPr>
        <w:t>Stockland Green’s</w:t>
      </w:r>
      <w:r w:rsidRPr="0038396E">
        <w:rPr>
          <w:rFonts w:cstheme="minorHAnsi"/>
        </w:rPr>
        <w:t xml:space="preserve"> careers programme aims to raise the aspirations of all students whilst being tailored to individual needs. The programme informs students of the range of opportunities available to them and makes clear equality of opportunity.</w:t>
      </w:r>
    </w:p>
    <w:p w14:paraId="76449ADE" w14:textId="77777777" w:rsidR="00183F11" w:rsidRPr="0038396E" w:rsidRDefault="00183F11" w:rsidP="00183F11">
      <w:pPr>
        <w:rPr>
          <w:rFonts w:cstheme="minorHAnsi"/>
        </w:rPr>
      </w:pPr>
      <w:r w:rsidRPr="0038396E">
        <w:rPr>
          <w:rFonts w:cstheme="minorHAnsi"/>
        </w:rPr>
        <w:t>5.2. All forms of stereotyping are prohibited in the careers advice and guidance that is provided, to ensure students from all backgrounds, gender and diversity groups, and those with SEND, can consider the widest possible range of careers. Arrangements are made for students to connect with employees who work in non-stereotypical jobs to raise awareness of the range of careers and equality of opportunity.</w:t>
      </w:r>
    </w:p>
    <w:p w14:paraId="40F63A5F" w14:textId="27EB0123" w:rsidR="00183F11" w:rsidRPr="0038396E" w:rsidRDefault="00183F11" w:rsidP="00183F11">
      <w:pPr>
        <w:rPr>
          <w:rFonts w:cstheme="minorHAnsi"/>
        </w:rPr>
      </w:pPr>
      <w:r w:rsidRPr="0038396E">
        <w:rPr>
          <w:rFonts w:cstheme="minorHAnsi"/>
        </w:rPr>
        <w:t>5.3. C</w:t>
      </w:r>
      <w:r w:rsidR="009F69EA" w:rsidRPr="0038396E">
        <w:rPr>
          <w:rFonts w:cstheme="minorHAnsi"/>
        </w:rPr>
        <w:t xml:space="preserve">EIAGs </w:t>
      </w:r>
      <w:r w:rsidRPr="0038396E">
        <w:rPr>
          <w:rFonts w:cstheme="minorHAnsi"/>
        </w:rPr>
        <w:t>maintain records of advice given to each student and consequent decisions so that students can be systematically supported in their career development.</w:t>
      </w:r>
    </w:p>
    <w:p w14:paraId="078F3294" w14:textId="71D30C65" w:rsidR="00183F11" w:rsidRPr="0038396E" w:rsidRDefault="00183F11" w:rsidP="00183F11">
      <w:pPr>
        <w:rPr>
          <w:rFonts w:cstheme="minorHAnsi"/>
        </w:rPr>
      </w:pPr>
      <w:r w:rsidRPr="0038396E">
        <w:rPr>
          <w:rFonts w:cstheme="minorHAnsi"/>
        </w:rPr>
        <w:t xml:space="preserve">5.4. The </w:t>
      </w:r>
      <w:r w:rsidR="009F69EA" w:rsidRPr="0038396E">
        <w:rPr>
          <w:rFonts w:cstheme="minorHAnsi"/>
        </w:rPr>
        <w:t>school</w:t>
      </w:r>
      <w:r w:rsidRPr="0038396E">
        <w:rPr>
          <w:rFonts w:cstheme="minorHAnsi"/>
        </w:rPr>
        <w:t xml:space="preserve"> collects and analyses destination data to assess how well the careers programme is raising aspirations. The data is regularly reviewed on an annual basis.</w:t>
      </w:r>
    </w:p>
    <w:p w14:paraId="488F705C" w14:textId="41D64207" w:rsidR="009F69EA" w:rsidRPr="0038396E" w:rsidRDefault="009F69EA" w:rsidP="00183F11">
      <w:pPr>
        <w:rPr>
          <w:rFonts w:cstheme="minorHAnsi"/>
        </w:rPr>
      </w:pPr>
    </w:p>
    <w:p w14:paraId="6604004E" w14:textId="77777777" w:rsidR="009F69EA" w:rsidRPr="0038396E" w:rsidRDefault="009F69EA" w:rsidP="009F69EA">
      <w:pPr>
        <w:rPr>
          <w:rFonts w:cstheme="minorHAnsi"/>
        </w:rPr>
      </w:pPr>
      <w:r w:rsidRPr="0038396E">
        <w:rPr>
          <w:rFonts w:cstheme="minorHAnsi"/>
        </w:rPr>
        <w:t>6. TARGETED SUPPORT</w:t>
      </w:r>
    </w:p>
    <w:p w14:paraId="53AFE0C1" w14:textId="4FBF896E" w:rsidR="009F69EA" w:rsidRPr="0038396E" w:rsidRDefault="009F69EA" w:rsidP="009F69EA">
      <w:pPr>
        <w:rPr>
          <w:rFonts w:cstheme="minorHAnsi"/>
        </w:rPr>
      </w:pPr>
      <w:r w:rsidRPr="0038396E">
        <w:rPr>
          <w:rFonts w:cstheme="minorHAnsi"/>
        </w:rPr>
        <w:t>6.1. Careers Lead and CEIAGs work with the Heads of Faculty, House and Pastoral leaders and, where appropriate, alongside the LA to identify students who are in need of targeted support or those who are at risk of not participating in post-16 pathways (NEET’s). Agreements are made over how these students can be referred for support drawn from a range of education and training support services available locally. Targeting of these students is informed by RONI data, ensuring early intervention.</w:t>
      </w:r>
    </w:p>
    <w:p w14:paraId="020833D5" w14:textId="0FB910F4" w:rsidR="009F69EA" w:rsidRPr="0038396E" w:rsidRDefault="009F69EA" w:rsidP="009F69EA">
      <w:pPr>
        <w:rPr>
          <w:rFonts w:cstheme="minorHAnsi"/>
        </w:rPr>
      </w:pPr>
    </w:p>
    <w:p w14:paraId="2408EE57" w14:textId="77777777" w:rsidR="009F69EA" w:rsidRPr="0038396E" w:rsidRDefault="009F69EA" w:rsidP="009F69EA">
      <w:pPr>
        <w:rPr>
          <w:rFonts w:cstheme="minorHAnsi"/>
        </w:rPr>
      </w:pPr>
      <w:r w:rsidRPr="0038396E">
        <w:rPr>
          <w:rFonts w:cstheme="minorHAnsi"/>
        </w:rPr>
        <w:t>7. STUDENTS WITH SEND</w:t>
      </w:r>
    </w:p>
    <w:p w14:paraId="05AC3DCD" w14:textId="60E21D32" w:rsidR="009F69EA" w:rsidRPr="0038396E" w:rsidRDefault="009F69EA" w:rsidP="009F69EA">
      <w:pPr>
        <w:rPr>
          <w:rFonts w:cstheme="minorHAnsi"/>
        </w:rPr>
      </w:pPr>
      <w:r w:rsidRPr="0038396E">
        <w:rPr>
          <w:rFonts w:cstheme="minorHAnsi"/>
        </w:rPr>
        <w:t>7.1. Careers Lead ensures that careers guidance is differentiated and based on high aspirations and a personalised approach.</w:t>
      </w:r>
    </w:p>
    <w:p w14:paraId="3BCB8BCF" w14:textId="5B5A48E0" w:rsidR="009F69EA" w:rsidRPr="0038396E" w:rsidRDefault="009F69EA" w:rsidP="009F69EA">
      <w:pPr>
        <w:rPr>
          <w:rFonts w:cstheme="minorHAnsi"/>
        </w:rPr>
      </w:pPr>
      <w:r w:rsidRPr="0038396E">
        <w:rPr>
          <w:rFonts w:cstheme="minorHAnsi"/>
        </w:rPr>
        <w:t>7.2. Yvonne Green works with the families of SEND students to help them understand what career options are available.</w:t>
      </w:r>
    </w:p>
    <w:p w14:paraId="0ABF4FBB" w14:textId="77777777" w:rsidR="009F69EA" w:rsidRPr="0038396E" w:rsidRDefault="009F69EA" w:rsidP="009F69EA">
      <w:pPr>
        <w:rPr>
          <w:rFonts w:cstheme="minorHAnsi"/>
        </w:rPr>
      </w:pPr>
      <w:r w:rsidRPr="0038396E">
        <w:rPr>
          <w:rFonts w:cstheme="minorHAnsi"/>
        </w:rPr>
        <w:t>7.3. Careers guidance focuses on a student’s career aspirations and the post-16 options which are most likely to give the student a pathway into employment or higher education.</w:t>
      </w:r>
    </w:p>
    <w:p w14:paraId="68627001" w14:textId="77777777" w:rsidR="009F69EA" w:rsidRPr="0038396E" w:rsidRDefault="009F69EA" w:rsidP="009F69EA">
      <w:pPr>
        <w:rPr>
          <w:rFonts w:cstheme="minorHAnsi"/>
        </w:rPr>
      </w:pPr>
    </w:p>
    <w:p w14:paraId="236FC39C" w14:textId="77777777" w:rsidR="009F69EA" w:rsidRPr="0038396E" w:rsidRDefault="009F69EA" w:rsidP="009F69EA">
      <w:pPr>
        <w:rPr>
          <w:rFonts w:cstheme="minorHAnsi"/>
        </w:rPr>
      </w:pPr>
      <w:r w:rsidRPr="0038396E">
        <w:rPr>
          <w:rFonts w:cstheme="minorHAnsi"/>
        </w:rPr>
        <w:t>8. LINKING CURRICULUM LEARNING TO CAREERS</w:t>
      </w:r>
    </w:p>
    <w:p w14:paraId="11B00B12" w14:textId="692B1FDC" w:rsidR="009F69EA" w:rsidRPr="0038396E" w:rsidRDefault="009F69EA" w:rsidP="009F69EA">
      <w:pPr>
        <w:rPr>
          <w:rFonts w:cstheme="minorHAnsi"/>
        </w:rPr>
      </w:pPr>
      <w:r w:rsidRPr="0038396E">
        <w:rPr>
          <w:rFonts w:cstheme="minorHAnsi"/>
        </w:rPr>
        <w:t xml:space="preserve">8.1. Stockland Green delivers a discrete Careers Education Programmes, as part of the citizenship programme. </w:t>
      </w:r>
    </w:p>
    <w:p w14:paraId="29A56B63" w14:textId="4AE94FAA" w:rsidR="009F69EA" w:rsidRPr="0038396E" w:rsidRDefault="009F69EA" w:rsidP="009F69EA">
      <w:pPr>
        <w:rPr>
          <w:rFonts w:cstheme="minorHAnsi"/>
        </w:rPr>
      </w:pPr>
      <w:r w:rsidRPr="0038396E">
        <w:rPr>
          <w:rFonts w:cstheme="minorHAnsi"/>
        </w:rPr>
        <w:t xml:space="preserve">8.2. Students utilise Skills Builder resources to develop their understanding of </w:t>
      </w:r>
      <w:r w:rsidR="00B61EE3" w:rsidRPr="0038396E">
        <w:rPr>
          <w:rFonts w:cstheme="minorHAnsi"/>
        </w:rPr>
        <w:t>transferable skills in different contexts as part of their citizenship programme.</w:t>
      </w:r>
    </w:p>
    <w:p w14:paraId="4A157122" w14:textId="6BE77CC2" w:rsidR="009F69EA" w:rsidRPr="0038396E" w:rsidRDefault="009F69EA" w:rsidP="009F69EA">
      <w:pPr>
        <w:rPr>
          <w:rFonts w:cstheme="minorHAnsi"/>
        </w:rPr>
      </w:pPr>
      <w:r w:rsidRPr="0038396E">
        <w:rPr>
          <w:rFonts w:cstheme="minorHAnsi"/>
        </w:rPr>
        <w:t xml:space="preserve">8.3. This provision is supplemented by </w:t>
      </w:r>
      <w:r w:rsidR="00B61EE3" w:rsidRPr="0038396E">
        <w:rPr>
          <w:rFonts w:cstheme="minorHAnsi"/>
        </w:rPr>
        <w:t>additional opportunities and experiences within in lesson time, as part of the wider school extra-curricular programme and wellbeing weeks where the curriculum is collapsed.</w:t>
      </w:r>
    </w:p>
    <w:p w14:paraId="49CC1850" w14:textId="0ADFA2C5" w:rsidR="009F69EA" w:rsidRPr="0038396E" w:rsidRDefault="009F69EA" w:rsidP="009F69EA">
      <w:pPr>
        <w:rPr>
          <w:rFonts w:cstheme="minorHAnsi"/>
        </w:rPr>
      </w:pPr>
      <w:r w:rsidRPr="0038396E">
        <w:rPr>
          <w:rFonts w:cstheme="minorHAnsi"/>
        </w:rPr>
        <w:t>8.4. The school’s careers development plan aims to champion, ‘within subject’ careers links, with subject specialists by indicating opportunities relevant to their subjects to help students understand context and progression.</w:t>
      </w:r>
    </w:p>
    <w:p w14:paraId="40740DB9" w14:textId="3F3F47DA" w:rsidR="00B61EE3" w:rsidRPr="0038396E" w:rsidRDefault="00B61EE3" w:rsidP="009F69EA">
      <w:pPr>
        <w:rPr>
          <w:rFonts w:cstheme="minorHAnsi"/>
        </w:rPr>
      </w:pPr>
    </w:p>
    <w:p w14:paraId="30701A83" w14:textId="77777777" w:rsidR="00B61EE3" w:rsidRPr="0038396E" w:rsidRDefault="00B61EE3" w:rsidP="00B61EE3">
      <w:pPr>
        <w:rPr>
          <w:rFonts w:cstheme="minorHAnsi"/>
        </w:rPr>
      </w:pPr>
      <w:r w:rsidRPr="0038396E">
        <w:rPr>
          <w:rFonts w:cstheme="minorHAnsi"/>
        </w:rPr>
        <w:t>9. ENCOUNTERS WITH EMPLOYERS AND EMPLOYEES</w:t>
      </w:r>
    </w:p>
    <w:p w14:paraId="57B5D321" w14:textId="38FFF472" w:rsidR="00B61EE3" w:rsidRPr="0038396E" w:rsidRDefault="00B61EE3" w:rsidP="00B61EE3">
      <w:pPr>
        <w:rPr>
          <w:rFonts w:cstheme="minorHAnsi"/>
        </w:rPr>
      </w:pPr>
      <w:r w:rsidRPr="0038396E">
        <w:rPr>
          <w:rFonts w:cstheme="minorHAnsi"/>
        </w:rPr>
        <w:t xml:space="preserve">9.1. The careers lead and CEIAGs engages with local, regional, national and transnational employers, businesses and professional networks, inviting visiting speakers with whom students can relate. </w:t>
      </w:r>
    </w:p>
    <w:p w14:paraId="75717406" w14:textId="2AFAA50E" w:rsidR="00B61EE3" w:rsidRPr="0038396E" w:rsidRDefault="00B61EE3" w:rsidP="00B61EE3">
      <w:pPr>
        <w:rPr>
          <w:rFonts w:cstheme="minorHAnsi"/>
        </w:rPr>
      </w:pPr>
      <w:r w:rsidRPr="0038396E">
        <w:rPr>
          <w:rFonts w:cstheme="minorHAnsi"/>
        </w:rPr>
        <w:t xml:space="preserve">9.2. Opportunities are built into lessons at key points in the year in lessons and outside including trips and visits that are bespoke to the interests and abilities of students. </w:t>
      </w:r>
    </w:p>
    <w:p w14:paraId="79B44145" w14:textId="614E6267" w:rsidR="00B61EE3" w:rsidRPr="0038396E" w:rsidRDefault="00B61EE3" w:rsidP="00B61EE3">
      <w:pPr>
        <w:rPr>
          <w:rFonts w:cstheme="minorHAnsi"/>
        </w:rPr>
      </w:pPr>
      <w:r w:rsidRPr="0038396E">
        <w:rPr>
          <w:rFonts w:cstheme="minorHAnsi"/>
        </w:rPr>
        <w:t>9.3. Every year (Covid restrictions permitting), all KS3 &amp; 4 students access a variety of employers, further and higher education providers at our school’s annual Careers Fair.</w:t>
      </w:r>
    </w:p>
    <w:p w14:paraId="1721FE02" w14:textId="0E1A5E7C" w:rsidR="00B61EE3" w:rsidRPr="0038396E" w:rsidRDefault="00B61EE3" w:rsidP="00B61EE3">
      <w:pPr>
        <w:rPr>
          <w:rFonts w:cstheme="minorHAnsi"/>
        </w:rPr>
      </w:pPr>
    </w:p>
    <w:p w14:paraId="2FAC1581" w14:textId="77777777" w:rsidR="00B61EE3" w:rsidRPr="0038396E" w:rsidRDefault="00B61EE3" w:rsidP="00B61EE3">
      <w:pPr>
        <w:rPr>
          <w:rFonts w:cstheme="minorHAnsi"/>
        </w:rPr>
      </w:pPr>
      <w:r w:rsidRPr="0038396E">
        <w:rPr>
          <w:rFonts w:cstheme="minorHAnsi"/>
        </w:rPr>
        <w:t>10. EXPERIENCE OF WORKPLACES</w:t>
      </w:r>
    </w:p>
    <w:p w14:paraId="24A760AA" w14:textId="54D88269" w:rsidR="00B61EE3" w:rsidRPr="0038396E" w:rsidRDefault="00B61EE3" w:rsidP="00B61EE3">
      <w:pPr>
        <w:rPr>
          <w:rFonts w:cstheme="minorHAnsi"/>
        </w:rPr>
      </w:pPr>
      <w:r w:rsidRPr="0038396E">
        <w:rPr>
          <w:rFonts w:cstheme="minorHAnsi"/>
        </w:rPr>
        <w:t xml:space="preserve">10.1. We provide students over the course of the year a variety of experiences within lessons and in addition that develop their knowledge and understanding of </w:t>
      </w:r>
      <w:r w:rsidR="0026450A" w:rsidRPr="0038396E">
        <w:rPr>
          <w:rFonts w:cstheme="minorHAnsi"/>
        </w:rPr>
        <w:t>different workplaces.</w:t>
      </w:r>
    </w:p>
    <w:p w14:paraId="110FDC93" w14:textId="173D5416" w:rsidR="0026450A" w:rsidRPr="0038396E" w:rsidRDefault="0026450A" w:rsidP="00B61EE3">
      <w:pPr>
        <w:rPr>
          <w:rFonts w:cstheme="minorHAnsi"/>
        </w:rPr>
      </w:pPr>
      <w:r w:rsidRPr="0038396E">
        <w:rPr>
          <w:rFonts w:cstheme="minorHAnsi"/>
        </w:rPr>
        <w:t>10.2 Our Employer Engagement</w:t>
      </w:r>
      <w:r w:rsidR="0046782C" w:rsidRPr="0038396E">
        <w:rPr>
          <w:rFonts w:cstheme="minorHAnsi"/>
        </w:rPr>
        <w:t xml:space="preserve"> link provides ‘experience days’ in school that afford students a bespoke experience of a workplace.</w:t>
      </w:r>
    </w:p>
    <w:p w14:paraId="669540D7" w14:textId="367CD7B7" w:rsidR="00B617FE" w:rsidRPr="0038396E" w:rsidRDefault="00B617FE" w:rsidP="00B61EE3">
      <w:pPr>
        <w:rPr>
          <w:rFonts w:cstheme="minorHAnsi"/>
        </w:rPr>
      </w:pPr>
      <w:r w:rsidRPr="0038396E">
        <w:rPr>
          <w:rFonts w:cstheme="minorHAnsi"/>
        </w:rPr>
        <w:t>10.3 Resources are shared with students that allow them the opportunity to explore workplaces in a virtual way.</w:t>
      </w:r>
    </w:p>
    <w:p w14:paraId="6E6C5B53" w14:textId="4DF862CE" w:rsidR="00F047E3" w:rsidRPr="0038396E" w:rsidRDefault="00F047E3" w:rsidP="00B61EE3">
      <w:pPr>
        <w:rPr>
          <w:rFonts w:cstheme="minorHAnsi"/>
        </w:rPr>
      </w:pPr>
    </w:p>
    <w:p w14:paraId="467A2A8E" w14:textId="77777777" w:rsidR="00F047E3" w:rsidRPr="0038396E" w:rsidRDefault="00F047E3" w:rsidP="00F047E3">
      <w:pPr>
        <w:rPr>
          <w:rFonts w:cstheme="minorHAnsi"/>
        </w:rPr>
      </w:pPr>
      <w:r w:rsidRPr="0038396E">
        <w:rPr>
          <w:rFonts w:cstheme="minorHAnsi"/>
        </w:rPr>
        <w:t>11. ENCOUNTERS WITH FURTHER AND HIGHER EDUCATION</w:t>
      </w:r>
    </w:p>
    <w:p w14:paraId="57BF75A2" w14:textId="77777777" w:rsidR="00F047E3" w:rsidRPr="0038396E" w:rsidRDefault="00F047E3" w:rsidP="00F047E3">
      <w:pPr>
        <w:rPr>
          <w:rFonts w:cstheme="minorHAnsi"/>
        </w:rPr>
      </w:pPr>
      <w:r w:rsidRPr="0038396E">
        <w:rPr>
          <w:rFonts w:cstheme="minorHAnsi"/>
        </w:rPr>
        <w:t>11.1. The Careers programme provides students with a range of information and opportunities to learn about education, training and career paths throughout their school life.</w:t>
      </w:r>
    </w:p>
    <w:p w14:paraId="67109ED7" w14:textId="7AC2416E" w:rsidR="00F047E3" w:rsidRPr="0038396E" w:rsidRDefault="00F047E3" w:rsidP="00F047E3">
      <w:pPr>
        <w:rPr>
          <w:rFonts w:cstheme="minorHAnsi"/>
        </w:rPr>
      </w:pPr>
      <w:r w:rsidRPr="0038396E">
        <w:rPr>
          <w:rFonts w:cstheme="minorHAnsi"/>
        </w:rPr>
        <w:t>11.2. Careers interviews, guidance and monitoring take place in years 10 and 11 to ensure that students have appropriate progression plans in place.</w:t>
      </w:r>
      <w:r w:rsidR="004025C2" w:rsidRPr="0038396E">
        <w:rPr>
          <w:rFonts w:cstheme="minorHAnsi"/>
        </w:rPr>
        <w:t xml:space="preserve"> These take place from year 7 for vulnerable students.</w:t>
      </w:r>
    </w:p>
    <w:p w14:paraId="03AA99E4" w14:textId="622D3559" w:rsidR="00F047E3" w:rsidRPr="0038396E" w:rsidRDefault="00F047E3" w:rsidP="00F047E3">
      <w:pPr>
        <w:rPr>
          <w:rFonts w:cstheme="minorHAnsi"/>
        </w:rPr>
      </w:pPr>
      <w:r w:rsidRPr="0038396E">
        <w:rPr>
          <w:rFonts w:cstheme="minorHAnsi"/>
        </w:rPr>
        <w:t>11.3. Students are encouraged to use information tools, such as websites and apps, which display information about opportunities</w:t>
      </w:r>
      <w:r w:rsidR="004025C2" w:rsidRPr="0038396E">
        <w:rPr>
          <w:rFonts w:cstheme="minorHAnsi"/>
        </w:rPr>
        <w:t>.</w:t>
      </w:r>
    </w:p>
    <w:p w14:paraId="42DE7600" w14:textId="5AD18E90" w:rsidR="00F047E3" w:rsidRPr="0038396E" w:rsidRDefault="00F047E3" w:rsidP="00F047E3">
      <w:pPr>
        <w:rPr>
          <w:rFonts w:cstheme="minorHAnsi"/>
        </w:rPr>
      </w:pPr>
      <w:r w:rsidRPr="0038396E">
        <w:rPr>
          <w:rFonts w:cstheme="minorHAnsi"/>
        </w:rPr>
        <w:t>11.4. Education and training providers deliver information to all students in Years 7 to 1</w:t>
      </w:r>
      <w:r w:rsidR="004025C2" w:rsidRPr="0038396E">
        <w:rPr>
          <w:rFonts w:cstheme="minorHAnsi"/>
        </w:rPr>
        <w:t>1</w:t>
      </w:r>
      <w:r w:rsidRPr="0038396E">
        <w:rPr>
          <w:rFonts w:cstheme="minorHAnsi"/>
        </w:rPr>
        <w:t xml:space="preserve"> about approved technical education qualifications and apprenticeships.</w:t>
      </w:r>
    </w:p>
    <w:p w14:paraId="4CF36927" w14:textId="04D4F95E" w:rsidR="00F047E3" w:rsidRPr="0038396E" w:rsidRDefault="00F047E3" w:rsidP="00F047E3">
      <w:pPr>
        <w:rPr>
          <w:rFonts w:cstheme="minorHAnsi"/>
        </w:rPr>
      </w:pPr>
      <w:r w:rsidRPr="0038396E">
        <w:rPr>
          <w:rFonts w:cstheme="minorHAnsi"/>
        </w:rPr>
        <w:t>11.5. Opportunities are provided for students to engage with higher education including Higher Education events</w:t>
      </w:r>
      <w:r w:rsidR="004025C2" w:rsidRPr="0038396E">
        <w:rPr>
          <w:rFonts w:cstheme="minorHAnsi"/>
        </w:rPr>
        <w:t>.</w:t>
      </w:r>
    </w:p>
    <w:sectPr w:rsidR="00F047E3" w:rsidRPr="0038396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5A1487" w14:textId="77777777" w:rsidR="005473EE" w:rsidRDefault="005473EE" w:rsidP="00603AF1">
      <w:pPr>
        <w:spacing w:after="0" w:line="240" w:lineRule="auto"/>
      </w:pPr>
      <w:r>
        <w:separator/>
      </w:r>
    </w:p>
  </w:endnote>
  <w:endnote w:type="continuationSeparator" w:id="0">
    <w:p w14:paraId="1AC054C8" w14:textId="77777777" w:rsidR="005473EE" w:rsidRDefault="005473EE" w:rsidP="00603A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5C633B" w14:textId="77777777" w:rsidR="005473EE" w:rsidRDefault="005473EE" w:rsidP="00603AF1">
      <w:pPr>
        <w:spacing w:after="0" w:line="240" w:lineRule="auto"/>
      </w:pPr>
      <w:r>
        <w:separator/>
      </w:r>
    </w:p>
  </w:footnote>
  <w:footnote w:type="continuationSeparator" w:id="0">
    <w:p w14:paraId="33136BCB" w14:textId="77777777" w:rsidR="005473EE" w:rsidRDefault="005473EE" w:rsidP="00603A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4B7B1D"/>
    <w:multiLevelType w:val="hybridMultilevel"/>
    <w:tmpl w:val="B3684F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6A0A5E9C"/>
    <w:multiLevelType w:val="hybridMultilevel"/>
    <w:tmpl w:val="95C2A42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01306540">
    <w:abstractNumId w:val="1"/>
  </w:num>
  <w:num w:numId="2" w16cid:durableId="926756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5DA"/>
    <w:rsid w:val="00126983"/>
    <w:rsid w:val="00183003"/>
    <w:rsid w:val="00183F11"/>
    <w:rsid w:val="001E3BBD"/>
    <w:rsid w:val="0026450A"/>
    <w:rsid w:val="002F4BD7"/>
    <w:rsid w:val="00315E3E"/>
    <w:rsid w:val="00342C39"/>
    <w:rsid w:val="0038396E"/>
    <w:rsid w:val="003D12CD"/>
    <w:rsid w:val="003D2FF3"/>
    <w:rsid w:val="004025C2"/>
    <w:rsid w:val="0046782C"/>
    <w:rsid w:val="00467EC6"/>
    <w:rsid w:val="005473EE"/>
    <w:rsid w:val="00603AF1"/>
    <w:rsid w:val="007A357F"/>
    <w:rsid w:val="008355DA"/>
    <w:rsid w:val="008570F3"/>
    <w:rsid w:val="0087008A"/>
    <w:rsid w:val="009F61EF"/>
    <w:rsid w:val="009F69EA"/>
    <w:rsid w:val="00B040C7"/>
    <w:rsid w:val="00B5671E"/>
    <w:rsid w:val="00B617FE"/>
    <w:rsid w:val="00B61EE3"/>
    <w:rsid w:val="00BE7B0C"/>
    <w:rsid w:val="00E667CD"/>
    <w:rsid w:val="00F047E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A4A9F1"/>
  <w15:chartTrackingRefBased/>
  <w15:docId w15:val="{EC0E9D31-97A6-4AA3-89DF-5560A78C7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67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1736</Words>
  <Characters>9896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Katerina Lee</dc:creator>
  <cp:keywords/>
  <dc:description/>
  <cp:lastModifiedBy>Katerina Lee</cp:lastModifiedBy>
  <cp:revision>8</cp:revision>
  <dcterms:created xsi:type="dcterms:W3CDTF">2022-02-17T15:04:00Z</dcterms:created>
  <dcterms:modified xsi:type="dcterms:W3CDTF">2022-06-14T13:37:00Z</dcterms:modified>
</cp:coreProperties>
</file>