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4820"/>
        <w:gridCol w:w="4819"/>
      </w:tblGrid>
      <w:tr w:rsidR="00863D99" w:rsidRPr="001E2101" w14:paraId="0957BD6C" w14:textId="77777777" w:rsidTr="001A1970">
        <w:trPr>
          <w:jc w:val="center"/>
        </w:trPr>
        <w:tc>
          <w:tcPr>
            <w:tcW w:w="15446" w:type="dxa"/>
            <w:gridSpan w:val="4"/>
            <w:shd w:val="clear" w:color="auto" w:fill="FFC000"/>
          </w:tcPr>
          <w:p w14:paraId="22AE0738" w14:textId="0F51113F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D7437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9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B4074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Mathematics</w:t>
            </w:r>
          </w:p>
        </w:tc>
      </w:tr>
      <w:tr w:rsidR="00863D99" w:rsidRPr="001E2101" w14:paraId="419AB135" w14:textId="77777777" w:rsidTr="00463D98">
        <w:trPr>
          <w:jc w:val="center"/>
        </w:trPr>
        <w:tc>
          <w:tcPr>
            <w:tcW w:w="1271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820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49A91F49" w14:textId="77777777" w:rsidR="00D952FD" w:rsidRDefault="00D952FD" w:rsidP="00D952F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Verdana-Bold"/>
                <w:bCs/>
                <w:szCs w:val="21"/>
              </w:rPr>
            </w:pPr>
            <w:r>
              <w:rPr>
                <w:rFonts w:asciiTheme="majorHAnsi" w:hAnsiTheme="majorHAnsi" w:cs="Arial"/>
                <w:b/>
                <w:szCs w:val="21"/>
              </w:rPr>
              <w:t>AO1</w:t>
            </w:r>
            <w:r>
              <w:rPr>
                <w:rFonts w:asciiTheme="majorHAnsi" w:hAnsiTheme="majorHAnsi" w:cs="Arial"/>
                <w:szCs w:val="21"/>
              </w:rPr>
              <w:t xml:space="preserve"> </w:t>
            </w:r>
            <w:r>
              <w:rPr>
                <w:rFonts w:asciiTheme="majorHAnsi" w:hAnsiTheme="majorHAnsi" w:cs="Verdana-Bold"/>
                <w:bCs/>
                <w:szCs w:val="21"/>
              </w:rPr>
              <w:t>Use and apply standard techniques</w:t>
            </w:r>
            <w:r>
              <w:rPr>
                <w:rFonts w:asciiTheme="majorHAnsi" w:hAnsiTheme="majorHAnsi" w:cs="Verdana-Bold"/>
                <w:bCs/>
                <w:szCs w:val="21"/>
              </w:rPr>
              <w:tab/>
              <w:t>(Foundation 50%, Higher 40%)</w:t>
            </w:r>
          </w:p>
          <w:p w14:paraId="78220FD4" w14:textId="77777777" w:rsidR="00D952FD" w:rsidRDefault="00D952FD" w:rsidP="00D952F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Verdana-Bold"/>
                <w:bCs/>
                <w:szCs w:val="21"/>
              </w:rPr>
            </w:pPr>
            <w:r>
              <w:rPr>
                <w:rFonts w:asciiTheme="majorHAnsi" w:hAnsiTheme="majorHAnsi" w:cs="Verdana-Bold"/>
                <w:b/>
                <w:bCs/>
                <w:szCs w:val="21"/>
              </w:rPr>
              <w:t>AO2</w:t>
            </w:r>
            <w:r>
              <w:rPr>
                <w:rFonts w:asciiTheme="majorHAnsi" w:hAnsiTheme="majorHAnsi" w:cs="Verdana-Bold"/>
                <w:bCs/>
                <w:szCs w:val="21"/>
              </w:rPr>
              <w:t xml:space="preserve"> Reason, interpret and communicate mathematically</w:t>
            </w:r>
            <w:r>
              <w:rPr>
                <w:rFonts w:asciiTheme="majorHAnsi" w:hAnsiTheme="majorHAnsi" w:cs="Verdana-Bold"/>
                <w:bCs/>
                <w:szCs w:val="21"/>
              </w:rPr>
              <w:tab/>
              <w:t xml:space="preserve"> (Foundation 25%, Higher 30%)</w:t>
            </w:r>
          </w:p>
          <w:p w14:paraId="54291718" w14:textId="4DC62FD3" w:rsidR="00711285" w:rsidRDefault="00D952FD" w:rsidP="00D952FD">
            <w:pPr>
              <w:pStyle w:val="NoSpacing"/>
            </w:pPr>
            <w:r>
              <w:rPr>
                <w:rFonts w:asciiTheme="majorHAnsi" w:hAnsiTheme="majorHAnsi" w:cs="Verdana-Bold"/>
                <w:b/>
                <w:bCs/>
                <w:szCs w:val="21"/>
              </w:rPr>
              <w:t xml:space="preserve">AO3 </w:t>
            </w:r>
            <w:r>
              <w:rPr>
                <w:rFonts w:asciiTheme="majorHAnsi" w:hAnsiTheme="majorHAnsi" w:cs="Verdana-Bold"/>
                <w:bCs/>
                <w:szCs w:val="21"/>
              </w:rPr>
              <w:t>Solve problems within mathematics and in other contexts (Foundation 25%, Higher30%)</w:t>
            </w:r>
          </w:p>
        </w:tc>
      </w:tr>
      <w:tr w:rsidR="00D952FD" w:rsidRPr="007B62A8" w14:paraId="0214464D" w14:textId="77777777" w:rsidTr="00463D98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D952FD" w:rsidRPr="007B62A8" w:rsidRDefault="00D952FD" w:rsidP="00D952FD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536" w:type="dxa"/>
            <w:shd w:val="clear" w:color="auto" w:fill="auto"/>
          </w:tcPr>
          <w:p w14:paraId="0806D627" w14:textId="1401077F" w:rsidR="00D952FD" w:rsidRPr="00BB0CC3" w:rsidRDefault="00D952FD" w:rsidP="00D952FD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Theme="majorHAnsi" w:hAnsiTheme="majorHAnsi" w:cs="Arial"/>
                <w:b/>
                <w:szCs w:val="21"/>
                <w:u w:val="single"/>
              </w:rPr>
              <w:t>Foundation and Higher</w:t>
            </w:r>
            <w:r>
              <w:rPr>
                <w:rFonts w:asciiTheme="majorHAnsi" w:hAnsiTheme="majorHAnsi" w:cs="Arial"/>
                <w:b/>
                <w:szCs w:val="21"/>
              </w:rPr>
              <w:br/>
              <w:t>Unit 1</w:t>
            </w:r>
            <w:r>
              <w:rPr>
                <w:rFonts w:asciiTheme="majorHAnsi" w:hAnsiTheme="majorHAnsi" w:cs="Arial"/>
                <w:szCs w:val="21"/>
              </w:rPr>
              <w:t xml:space="preserve"> - Number: 7 weeks</w:t>
            </w:r>
            <w:r>
              <w:rPr>
                <w:rFonts w:asciiTheme="majorHAnsi" w:hAnsiTheme="majorHAnsi" w:cs="Arial"/>
                <w:szCs w:val="21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2</w:t>
            </w:r>
            <w:r>
              <w:rPr>
                <w:rFonts w:asciiTheme="majorHAnsi" w:hAnsiTheme="majorHAnsi" w:cs="Arial"/>
                <w:szCs w:val="21"/>
              </w:rPr>
              <w:t xml:space="preserve"> – Algebra: 7 weeks</w:t>
            </w:r>
          </w:p>
        </w:tc>
        <w:tc>
          <w:tcPr>
            <w:tcW w:w="4820" w:type="dxa"/>
          </w:tcPr>
          <w:p w14:paraId="5A69D216" w14:textId="77777777" w:rsidR="00D952FD" w:rsidRDefault="00D952FD" w:rsidP="00D952FD">
            <w:pPr>
              <w:rPr>
                <w:rFonts w:asciiTheme="majorHAnsi" w:hAnsiTheme="majorHAnsi" w:cs="Arial"/>
                <w:szCs w:val="21"/>
              </w:rPr>
            </w:pPr>
            <w:r>
              <w:rPr>
                <w:rFonts w:asciiTheme="majorHAnsi" w:hAnsiTheme="majorHAnsi" w:cs="Arial"/>
                <w:b/>
                <w:szCs w:val="21"/>
                <w:u w:val="single"/>
              </w:rPr>
              <w:t>Foundation</w:t>
            </w:r>
            <w:r>
              <w:rPr>
                <w:rFonts w:asciiTheme="majorHAnsi" w:hAnsiTheme="majorHAnsi" w:cs="Arial"/>
                <w:b/>
                <w:szCs w:val="21"/>
              </w:rPr>
              <w:br/>
              <w:t>Unit 3</w:t>
            </w:r>
            <w:r>
              <w:rPr>
                <w:rFonts w:asciiTheme="majorHAnsi" w:hAnsiTheme="majorHAnsi" w:cs="Arial"/>
                <w:szCs w:val="21"/>
              </w:rPr>
              <w:t xml:space="preserve"> – Graphs, </w:t>
            </w:r>
            <w:proofErr w:type="gramStart"/>
            <w:r>
              <w:rPr>
                <w:rFonts w:asciiTheme="majorHAnsi" w:hAnsiTheme="majorHAnsi" w:cs="Arial"/>
                <w:szCs w:val="21"/>
              </w:rPr>
              <w:t>tables</w:t>
            </w:r>
            <w:proofErr w:type="gramEnd"/>
            <w:r>
              <w:rPr>
                <w:rFonts w:asciiTheme="majorHAnsi" w:hAnsiTheme="majorHAnsi" w:cs="Arial"/>
                <w:szCs w:val="21"/>
              </w:rPr>
              <w:t xml:space="preserve"> and charts –4 weeks</w:t>
            </w:r>
            <w:r>
              <w:rPr>
                <w:rFonts w:asciiTheme="majorHAnsi" w:hAnsiTheme="majorHAnsi" w:cs="Arial"/>
                <w:szCs w:val="21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4</w:t>
            </w:r>
            <w:r>
              <w:rPr>
                <w:rFonts w:asciiTheme="majorHAnsi" w:hAnsiTheme="majorHAnsi" w:cs="Arial"/>
                <w:szCs w:val="21"/>
              </w:rPr>
              <w:t xml:space="preserve"> – Fractions, decimals and percentages – 5 weeks</w:t>
            </w:r>
          </w:p>
          <w:p w14:paraId="28AD80C4" w14:textId="77777777" w:rsidR="00D952FD" w:rsidRDefault="00D952FD" w:rsidP="00D952FD">
            <w:pPr>
              <w:rPr>
                <w:rFonts w:asciiTheme="majorHAnsi" w:hAnsiTheme="majorHAnsi" w:cs="Arial"/>
                <w:szCs w:val="21"/>
              </w:rPr>
            </w:pPr>
            <w:r>
              <w:rPr>
                <w:rFonts w:asciiTheme="majorHAnsi" w:hAnsiTheme="majorHAnsi" w:cs="Arial"/>
                <w:b/>
                <w:szCs w:val="21"/>
              </w:rPr>
              <w:t>Unit 5</w:t>
            </w:r>
            <w:r>
              <w:rPr>
                <w:rFonts w:asciiTheme="majorHAnsi" w:hAnsiTheme="majorHAnsi" w:cs="Arial"/>
                <w:szCs w:val="21"/>
              </w:rPr>
              <w:t xml:space="preserve"> – Equations, </w:t>
            </w:r>
            <w:proofErr w:type="gramStart"/>
            <w:r>
              <w:rPr>
                <w:rFonts w:asciiTheme="majorHAnsi" w:hAnsiTheme="majorHAnsi" w:cs="Arial"/>
                <w:szCs w:val="21"/>
              </w:rPr>
              <w:t>inequalities</w:t>
            </w:r>
            <w:proofErr w:type="gramEnd"/>
            <w:r>
              <w:rPr>
                <w:rFonts w:asciiTheme="majorHAnsi" w:hAnsiTheme="majorHAnsi" w:cs="Arial"/>
                <w:szCs w:val="21"/>
              </w:rPr>
              <w:t xml:space="preserve"> and sequences – 4 weeks</w:t>
            </w:r>
          </w:p>
          <w:p w14:paraId="2331B2D3" w14:textId="77777777" w:rsidR="00D952FD" w:rsidRDefault="00D952FD" w:rsidP="00D952FD">
            <w:pPr>
              <w:rPr>
                <w:rFonts w:asciiTheme="majorHAnsi" w:hAnsiTheme="majorHAnsi" w:cs="Arial"/>
                <w:szCs w:val="21"/>
              </w:rPr>
            </w:pPr>
          </w:p>
          <w:p w14:paraId="44A61767" w14:textId="77777777" w:rsidR="00D952FD" w:rsidRDefault="00D952FD" w:rsidP="00D952FD">
            <w:pPr>
              <w:rPr>
                <w:rFonts w:asciiTheme="majorHAnsi" w:hAnsiTheme="majorHAnsi" w:cs="Arial"/>
                <w:szCs w:val="21"/>
              </w:rPr>
            </w:pPr>
            <w:r>
              <w:rPr>
                <w:rFonts w:asciiTheme="majorHAnsi" w:hAnsiTheme="majorHAnsi" w:cs="Arial"/>
                <w:b/>
                <w:szCs w:val="21"/>
                <w:u w:val="single"/>
              </w:rPr>
              <w:t>Higher</w:t>
            </w:r>
            <w:r>
              <w:rPr>
                <w:rFonts w:asciiTheme="majorHAnsi" w:hAnsiTheme="majorHAnsi" w:cs="Arial"/>
                <w:b/>
                <w:szCs w:val="21"/>
              </w:rPr>
              <w:br/>
              <w:t>Unit 3</w:t>
            </w:r>
            <w:r>
              <w:rPr>
                <w:rFonts w:asciiTheme="majorHAnsi" w:hAnsiTheme="majorHAnsi" w:cs="Arial"/>
                <w:szCs w:val="21"/>
              </w:rPr>
              <w:t xml:space="preserve"> – Interpreting and representing </w:t>
            </w:r>
            <w:proofErr w:type="gramStart"/>
            <w:r>
              <w:rPr>
                <w:rFonts w:asciiTheme="majorHAnsi" w:hAnsiTheme="majorHAnsi" w:cs="Arial"/>
                <w:szCs w:val="21"/>
              </w:rPr>
              <w:t>data  –</w:t>
            </w:r>
            <w:proofErr w:type="gramEnd"/>
            <w:r>
              <w:rPr>
                <w:rFonts w:asciiTheme="majorHAnsi" w:hAnsiTheme="majorHAnsi" w:cs="Arial"/>
                <w:szCs w:val="21"/>
              </w:rPr>
              <w:t>4 weeks</w:t>
            </w:r>
            <w:r>
              <w:rPr>
                <w:rFonts w:asciiTheme="majorHAnsi" w:hAnsiTheme="majorHAnsi" w:cs="Arial"/>
                <w:szCs w:val="21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4</w:t>
            </w:r>
            <w:r>
              <w:rPr>
                <w:rFonts w:asciiTheme="majorHAnsi" w:hAnsiTheme="majorHAnsi" w:cs="Arial"/>
                <w:szCs w:val="21"/>
              </w:rPr>
              <w:t xml:space="preserve"> – Fractions, ratio and percentages – 4 weeks</w:t>
            </w:r>
          </w:p>
          <w:p w14:paraId="61470EF7" w14:textId="32DCA096" w:rsidR="00D952FD" w:rsidRPr="009A0FE9" w:rsidRDefault="00D952FD" w:rsidP="00D952F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Arial"/>
                <w:b/>
                <w:szCs w:val="21"/>
              </w:rPr>
              <w:t>Unit 5</w:t>
            </w:r>
            <w:r>
              <w:rPr>
                <w:rFonts w:asciiTheme="majorHAnsi" w:hAnsiTheme="majorHAnsi" w:cs="Arial"/>
                <w:szCs w:val="21"/>
              </w:rPr>
              <w:t xml:space="preserve"> – Angles, </w:t>
            </w:r>
            <w:proofErr w:type="gramStart"/>
            <w:r>
              <w:rPr>
                <w:rFonts w:asciiTheme="majorHAnsi" w:hAnsiTheme="majorHAnsi" w:cs="Arial"/>
                <w:szCs w:val="21"/>
              </w:rPr>
              <w:t>Pythagoras</w:t>
            </w:r>
            <w:proofErr w:type="gramEnd"/>
            <w:r>
              <w:rPr>
                <w:rFonts w:asciiTheme="majorHAnsi" w:hAnsiTheme="majorHAnsi" w:cs="Arial"/>
                <w:szCs w:val="21"/>
              </w:rPr>
              <w:t xml:space="preserve"> and trigonometry – 4 weeks</w:t>
            </w:r>
          </w:p>
        </w:tc>
        <w:tc>
          <w:tcPr>
            <w:tcW w:w="4819" w:type="dxa"/>
          </w:tcPr>
          <w:p w14:paraId="6619FA0D" w14:textId="77777777" w:rsidR="00D952FD" w:rsidRDefault="00D952FD" w:rsidP="00D952FD">
            <w:pPr>
              <w:rPr>
                <w:rFonts w:asciiTheme="majorHAnsi" w:hAnsiTheme="majorHAnsi" w:cs="Arial"/>
                <w:szCs w:val="21"/>
              </w:rPr>
            </w:pPr>
            <w:r>
              <w:rPr>
                <w:rFonts w:asciiTheme="majorHAnsi" w:hAnsiTheme="majorHAnsi" w:cs="Arial"/>
                <w:b/>
                <w:szCs w:val="21"/>
                <w:u w:val="single"/>
              </w:rPr>
              <w:t>Foundation</w:t>
            </w:r>
            <w:r>
              <w:rPr>
                <w:rFonts w:asciiTheme="majorHAnsi" w:hAnsiTheme="majorHAnsi" w:cs="Arial"/>
                <w:b/>
                <w:szCs w:val="21"/>
              </w:rPr>
              <w:br/>
              <w:t xml:space="preserve">Unit 6 </w:t>
            </w:r>
            <w:r>
              <w:rPr>
                <w:rFonts w:asciiTheme="majorHAnsi" w:hAnsiTheme="majorHAnsi" w:cs="Arial"/>
                <w:szCs w:val="21"/>
              </w:rPr>
              <w:t>– Angles –3 weeks</w:t>
            </w:r>
            <w:r>
              <w:rPr>
                <w:rFonts w:asciiTheme="majorHAnsi" w:hAnsiTheme="majorHAnsi" w:cs="Arial"/>
                <w:szCs w:val="21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7</w:t>
            </w:r>
            <w:r>
              <w:rPr>
                <w:rFonts w:asciiTheme="majorHAnsi" w:hAnsiTheme="majorHAnsi" w:cs="Arial"/>
                <w:szCs w:val="21"/>
              </w:rPr>
              <w:t xml:space="preserve"> – Averages – 3 weeks</w:t>
            </w:r>
          </w:p>
          <w:p w14:paraId="0D9AA6F5" w14:textId="77777777" w:rsidR="00D952FD" w:rsidRDefault="00D952FD" w:rsidP="00D952FD">
            <w:pPr>
              <w:rPr>
                <w:rFonts w:asciiTheme="majorHAnsi" w:hAnsiTheme="majorHAnsi" w:cs="Arial"/>
                <w:szCs w:val="21"/>
              </w:rPr>
            </w:pPr>
            <w:r>
              <w:rPr>
                <w:rFonts w:asciiTheme="majorHAnsi" w:hAnsiTheme="majorHAnsi" w:cs="Arial"/>
                <w:b/>
                <w:szCs w:val="21"/>
              </w:rPr>
              <w:t>Unit 8</w:t>
            </w:r>
            <w:r>
              <w:rPr>
                <w:rFonts w:asciiTheme="majorHAnsi" w:hAnsiTheme="majorHAnsi" w:cs="Arial"/>
                <w:szCs w:val="21"/>
              </w:rPr>
              <w:t xml:space="preserve"> – Area and Volume – 4 weeks</w:t>
            </w:r>
          </w:p>
          <w:p w14:paraId="0103BD81" w14:textId="77777777" w:rsidR="00D952FD" w:rsidRDefault="00D952FD" w:rsidP="00D952FD">
            <w:pPr>
              <w:rPr>
                <w:rFonts w:asciiTheme="majorHAnsi" w:hAnsiTheme="majorHAnsi" w:cs="Arial"/>
                <w:szCs w:val="21"/>
              </w:rPr>
            </w:pPr>
          </w:p>
          <w:p w14:paraId="0789AFB2" w14:textId="77777777" w:rsidR="00D952FD" w:rsidRDefault="00D952FD" w:rsidP="00D952FD">
            <w:pPr>
              <w:rPr>
                <w:rFonts w:asciiTheme="majorHAnsi" w:hAnsiTheme="majorHAnsi" w:cs="Arial"/>
                <w:szCs w:val="21"/>
              </w:rPr>
            </w:pPr>
            <w:r>
              <w:rPr>
                <w:rFonts w:asciiTheme="majorHAnsi" w:hAnsiTheme="majorHAnsi" w:cs="Arial"/>
                <w:b/>
                <w:szCs w:val="21"/>
                <w:u w:val="single"/>
              </w:rPr>
              <w:t>Higher</w:t>
            </w:r>
            <w:r>
              <w:rPr>
                <w:rFonts w:asciiTheme="majorHAnsi" w:hAnsiTheme="majorHAnsi" w:cs="Arial"/>
                <w:b/>
                <w:szCs w:val="21"/>
              </w:rPr>
              <w:br/>
              <w:t>Unit 6</w:t>
            </w:r>
            <w:r>
              <w:rPr>
                <w:rFonts w:asciiTheme="majorHAnsi" w:hAnsiTheme="majorHAnsi" w:cs="Arial"/>
                <w:szCs w:val="21"/>
              </w:rPr>
              <w:t xml:space="preserve"> – </w:t>
            </w:r>
            <w:proofErr w:type="gramStart"/>
            <w:r>
              <w:rPr>
                <w:rFonts w:asciiTheme="majorHAnsi" w:hAnsiTheme="majorHAnsi" w:cs="Arial"/>
                <w:szCs w:val="21"/>
              </w:rPr>
              <w:t>Graphs  –</w:t>
            </w:r>
            <w:proofErr w:type="gramEnd"/>
            <w:r>
              <w:rPr>
                <w:rFonts w:asciiTheme="majorHAnsi" w:hAnsiTheme="majorHAnsi" w:cs="Arial"/>
                <w:szCs w:val="21"/>
              </w:rPr>
              <w:t>4 weeks</w:t>
            </w:r>
            <w:r>
              <w:rPr>
                <w:rFonts w:asciiTheme="majorHAnsi" w:hAnsiTheme="majorHAnsi" w:cs="Arial"/>
                <w:szCs w:val="21"/>
              </w:rPr>
              <w:br/>
            </w:r>
            <w:r>
              <w:rPr>
                <w:rFonts w:asciiTheme="majorHAnsi" w:hAnsiTheme="majorHAnsi" w:cs="Arial"/>
                <w:b/>
                <w:szCs w:val="21"/>
              </w:rPr>
              <w:t>Unit 7</w:t>
            </w:r>
            <w:r>
              <w:rPr>
                <w:rFonts w:asciiTheme="majorHAnsi" w:hAnsiTheme="majorHAnsi" w:cs="Arial"/>
                <w:szCs w:val="21"/>
              </w:rPr>
              <w:t xml:space="preserve"> – Area and Volume – 4 weeks</w:t>
            </w:r>
          </w:p>
          <w:p w14:paraId="26EA3587" w14:textId="4825EB20" w:rsidR="00D952FD" w:rsidRPr="007B62A8" w:rsidRDefault="00D952FD" w:rsidP="00D952FD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Arial"/>
                <w:b/>
                <w:szCs w:val="21"/>
              </w:rPr>
              <w:t xml:space="preserve">Unit 8 </w:t>
            </w:r>
            <w:r>
              <w:rPr>
                <w:rFonts w:asciiTheme="majorHAnsi" w:hAnsiTheme="majorHAnsi" w:cs="Arial"/>
                <w:szCs w:val="21"/>
              </w:rPr>
              <w:t>– Transformations – 2 weeks</w:t>
            </w:r>
          </w:p>
        </w:tc>
      </w:tr>
      <w:tr w:rsidR="00D952FD" w:rsidRPr="007B62A8" w14:paraId="0FC0B45B" w14:textId="77777777" w:rsidTr="00463D98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952FD" w:rsidRDefault="00D952FD" w:rsidP="00D952FD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D952FD" w:rsidRDefault="00D952FD" w:rsidP="00D952FD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Key Learning Outcomes</w:t>
            </w:r>
          </w:p>
          <w:p w14:paraId="73D775CD" w14:textId="77777777" w:rsidR="00D952FD" w:rsidRDefault="00D952FD" w:rsidP="00D952FD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D952FD" w:rsidRDefault="00D952FD" w:rsidP="00D952FD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D952FD" w:rsidRDefault="00D952FD" w:rsidP="00D952FD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D952FD" w:rsidRPr="007B62A8" w:rsidRDefault="00D952FD" w:rsidP="00D952FD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22E15A46" w14:textId="77777777" w:rsidR="007F2B33" w:rsidRDefault="00D952FD" w:rsidP="00D952FD">
            <w:pPr>
              <w:spacing w:before="100" w:beforeAutospacing="1" w:after="300"/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  <w:t>Foundation</w:t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br/>
              <w:t xml:space="preserve">Unit 1 - Number: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students will study calculations with the four operations, decimals, place value, factors, multiples, squares, cubes, roots, </w:t>
            </w:r>
            <w:proofErr w:type="gramStart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indices</w:t>
            </w:r>
            <w:proofErr w:type="gramEnd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and prime factors.</w:t>
            </w:r>
          </w:p>
          <w:p w14:paraId="3A50E228" w14:textId="23A00FEA" w:rsidR="007F2B33" w:rsidRPr="00463D98" w:rsidRDefault="007F2B33" w:rsidP="007F2B33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Intentional Monitoring </w:t>
            </w:r>
          </w:p>
          <w:p w14:paraId="73A6000A" w14:textId="15240BB2" w:rsidR="00D952FD" w:rsidRDefault="00D952FD" w:rsidP="00D952FD">
            <w:pPr>
              <w:spacing w:before="100" w:beforeAutospacing="1" w:after="300"/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br/>
              <w:t xml:space="preserve">Unit 2 – Algebra: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students will study expressions, simplifying algebra, substitution, formulae, expanding brackets and factorising. </w:t>
            </w:r>
          </w:p>
          <w:p w14:paraId="2A3A2883" w14:textId="77777777" w:rsidR="007F2B33" w:rsidRPr="00463D98" w:rsidRDefault="007F2B33" w:rsidP="007F2B33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63D9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099DC40D" w14:textId="425C7293" w:rsidR="00D952FD" w:rsidRPr="00463D98" w:rsidRDefault="00D952FD" w:rsidP="00D952FD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  <w:br/>
            </w:r>
            <w:r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  <w:br/>
            </w:r>
          </w:p>
        </w:tc>
        <w:tc>
          <w:tcPr>
            <w:tcW w:w="4820" w:type="dxa"/>
          </w:tcPr>
          <w:p w14:paraId="16607C6B" w14:textId="77777777" w:rsidR="007F2B33" w:rsidRDefault="00D952FD" w:rsidP="00D952FD">
            <w:pPr>
              <w:pStyle w:val="NoSpacing"/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  <w:t>Foundation</w:t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br/>
              <w:t xml:space="preserve">Unit 3 – Graphs, tables and charts: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students will study various ways to represent and interpret data such as </w:t>
            </w:r>
            <w:proofErr w:type="gramStart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two way</w:t>
            </w:r>
            <w:proofErr w:type="gramEnd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tables, pie charts and scatter graphs.</w:t>
            </w:r>
          </w:p>
          <w:p w14:paraId="6BAE8F69" w14:textId="77777777" w:rsidR="007F2B33" w:rsidRPr="00463D98" w:rsidRDefault="007F2B33" w:rsidP="007F2B33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Intentional Monitoring </w:t>
            </w:r>
          </w:p>
          <w:p w14:paraId="6459BA92" w14:textId="77777777" w:rsidR="007F2B33" w:rsidRDefault="00D952FD" w:rsidP="00D952FD">
            <w:pPr>
              <w:pStyle w:val="NoSpacing"/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Unit 4 – Fractions and </w:t>
            </w:r>
            <w:proofErr w:type="gramStart"/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percentages :</w:t>
            </w:r>
            <w:proofErr w:type="gramEnd"/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students will study calculating with fractions, converting between fractions, decimals and percentages and calculating percentages.</w:t>
            </w:r>
          </w:p>
          <w:p w14:paraId="22C090B4" w14:textId="77777777" w:rsidR="007F2B33" w:rsidRPr="00463D98" w:rsidRDefault="007F2B33" w:rsidP="007F2B33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Intentional Monitoring </w:t>
            </w:r>
          </w:p>
          <w:p w14:paraId="2577E866" w14:textId="64B08E8E" w:rsidR="00D952FD" w:rsidRDefault="00D952FD" w:rsidP="00D952FD">
            <w:pPr>
              <w:pStyle w:val="NoSpacing"/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Unit 5 – Equations, inequalities and </w:t>
            </w:r>
            <w:proofErr w:type="gramStart"/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sequences :</w:t>
            </w:r>
            <w:proofErr w:type="gramEnd"/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students will study solving equations, inequalities formulae and sequences.</w:t>
            </w:r>
          </w:p>
          <w:p w14:paraId="33E27067" w14:textId="77777777" w:rsidR="007F2B33" w:rsidRPr="00463D98" w:rsidRDefault="007F2B33" w:rsidP="007F2B33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63D9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695CCE7B" w14:textId="627E61B9" w:rsidR="007F2B33" w:rsidRPr="007F2B33" w:rsidRDefault="007F2B33" w:rsidP="007F2B33">
            <w:pPr>
              <w:rPr>
                <w:lang w:eastAsia="en-GB"/>
              </w:rPr>
            </w:pPr>
          </w:p>
        </w:tc>
        <w:tc>
          <w:tcPr>
            <w:tcW w:w="4819" w:type="dxa"/>
          </w:tcPr>
          <w:p w14:paraId="61018ABA" w14:textId="77777777" w:rsidR="007F2B33" w:rsidRDefault="00D952FD" w:rsidP="00D952FD">
            <w:pPr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szCs w:val="21"/>
                <w:u w:val="single"/>
                <w:lang w:eastAsia="en-GB"/>
              </w:rPr>
              <w:t>Foundation</w:t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br/>
              <w:t xml:space="preserve">Unit 6 – Angles: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students will study properties of shapes, angles in parallel lines and interior and exterior angles in polygons.</w:t>
            </w:r>
          </w:p>
          <w:p w14:paraId="507C100C" w14:textId="77777777" w:rsidR="007F2B33" w:rsidRPr="00463D98" w:rsidRDefault="007F2B33" w:rsidP="007F2B33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Intentional Monitoring </w:t>
            </w:r>
          </w:p>
          <w:p w14:paraId="66DA181C" w14:textId="77777777" w:rsidR="007F2B33" w:rsidRDefault="00D952FD" w:rsidP="00D952FD">
            <w:pPr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br/>
            </w: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Unit 7 - </w:t>
            </w:r>
            <w:proofErr w:type="gramStart"/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>Averages :</w:t>
            </w:r>
            <w:proofErr w:type="gramEnd"/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students will study calculating the mode, median, mean and range from a set of data. They will then go on to study averages from frequency tables and sampling methods.</w:t>
            </w:r>
          </w:p>
          <w:p w14:paraId="56E9E130" w14:textId="77777777" w:rsidR="007F2B33" w:rsidRPr="00463D98" w:rsidRDefault="007F2B33" w:rsidP="007F2B33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Intentional Monitoring </w:t>
            </w:r>
          </w:p>
          <w:p w14:paraId="680B50B5" w14:textId="42808137" w:rsidR="00D952FD" w:rsidRDefault="00D952FD" w:rsidP="00D952FD">
            <w:pPr>
              <w:rPr>
                <w:rFonts w:asciiTheme="majorHAnsi" w:eastAsia="Times New Roman" w:hAnsiTheme="majorHAnsi" w:cs="Arial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szCs w:val="21"/>
                <w:lang w:eastAsia="en-GB"/>
              </w:rPr>
              <w:t xml:space="preserve">Unit 8 – Area and Volume: </w:t>
            </w:r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students will study the perimeter and area of rectangles, triangles, </w:t>
            </w:r>
            <w:proofErr w:type="gramStart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>parallelograms</w:t>
            </w:r>
            <w:proofErr w:type="gramEnd"/>
            <w:r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 and trapezium. They will then apply this to areas of compound shapes. They will finish the unit by calculating the surface area and volume of prisms.</w:t>
            </w:r>
          </w:p>
          <w:p w14:paraId="34EA5370" w14:textId="77777777" w:rsidR="007F2B33" w:rsidRPr="00463D98" w:rsidRDefault="007F2B33" w:rsidP="007F2B33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463D98"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  <w:t xml:space="preserve">Progress assessment, feedback, reteach and DIRT. </w:t>
            </w:r>
          </w:p>
          <w:p w14:paraId="5A87331D" w14:textId="7D8B676A" w:rsidR="007F2B33" w:rsidRPr="00463D98" w:rsidRDefault="007F2B33" w:rsidP="00D952FD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u w:val="single"/>
                <w:lang w:eastAsia="en-GB"/>
              </w:rPr>
            </w:pPr>
          </w:p>
        </w:tc>
      </w:tr>
      <w:tr w:rsidR="00F517F3" w:rsidRPr="007B62A8" w14:paraId="28E2CEA4" w14:textId="77777777" w:rsidTr="00463D98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F517F3" w:rsidRPr="007B62A8" w:rsidRDefault="00F517F3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Prior knowledge</w:t>
            </w:r>
          </w:p>
        </w:tc>
        <w:tc>
          <w:tcPr>
            <w:tcW w:w="4536" w:type="dxa"/>
            <w:shd w:val="clear" w:color="auto" w:fill="auto"/>
          </w:tcPr>
          <w:p w14:paraId="16F84B9D" w14:textId="3BC11629" w:rsidR="0097766F" w:rsidRPr="001A1970" w:rsidRDefault="0011041B" w:rsidP="001104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KS2: </w:t>
            </w:r>
          </w:p>
          <w:p w14:paraId="44546900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"AO2: demonstrate knowledge, understanding and skills in shape,</w:t>
            </w:r>
          </w:p>
          <w:p w14:paraId="754CF58C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space and measures:</w:t>
            </w:r>
          </w:p>
          <w:p w14:paraId="2474DFD1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geometry</w:t>
            </w:r>
          </w:p>
          <w:p w14:paraId="32BB1464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vectors and transformation geometry. "</w:t>
            </w:r>
          </w:p>
          <w:p w14:paraId="4E0A1466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73BD5F40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42FBFE0E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584E36D3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4B9A3164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7565A304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572BBA8D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43A094DB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027B630A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52932311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71B51200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4A807E23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3E73F389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01529B0D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5912F1C0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46D13D26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6423BD69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4A26407B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388498A2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51E0528C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25CB9A94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0EF5F1D1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0C4A8E6F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2346F1F2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73BC9E89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261AF4DE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7330AF4E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2DC22831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0C8CA629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0ACF3BE1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4B38D711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5E9F8715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290E1DA7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1D944E29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5D87411A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28D963DB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36D88121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2ADEAE26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3BCBB582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10FEFD91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21526624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71252AF9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sequences, functions and graphs."</w:t>
            </w:r>
          </w:p>
          <w:p w14:paraId="39EE7FA1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"AO1: demonstrate knowledge, understanding and skills in number and algebra: </w:t>
            </w:r>
          </w:p>
          <w:p w14:paraId="0DA30FFE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• numbers and the numbering system</w:t>
            </w:r>
          </w:p>
          <w:p w14:paraId="43A94835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calculations </w:t>
            </w:r>
          </w:p>
          <w:p w14:paraId="5043F74A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solving numerical problems </w:t>
            </w:r>
          </w:p>
          <w:p w14:paraId="5A72AA26" w14:textId="77777777" w:rsidR="00D7437B" w:rsidRPr="00D7437B" w:rsidRDefault="00D7437B" w:rsidP="00D743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 and identities </w:t>
            </w:r>
          </w:p>
          <w:p w14:paraId="221547D2" w14:textId="7BF64C97" w:rsidR="00F517F3" w:rsidRPr="001A1970" w:rsidRDefault="00D7437B" w:rsidP="00D7437B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• sequences,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>functions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</w:rPr>
              <w:t xml:space="preserve"> and graphs."</w:t>
            </w:r>
          </w:p>
        </w:tc>
        <w:tc>
          <w:tcPr>
            <w:tcW w:w="4820" w:type="dxa"/>
          </w:tcPr>
          <w:p w14:paraId="1A3D2541" w14:textId="399A56ED" w:rsidR="006E36C2" w:rsidRPr="001A1970" w:rsidRDefault="00F517F3" w:rsidP="006E36C2">
            <w:p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KS2: </w:t>
            </w:r>
          </w:p>
          <w:p w14:paraId="35B88046" w14:textId="77777777" w:rsidR="00D7437B" w:rsidRPr="00D7437B" w:rsidRDefault="00D530A5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530A5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</w:t>
            </w:r>
            <w:r w:rsidR="00D7437B"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021DBE8C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4A23AE6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55E70322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1A700C0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578AA98F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7D97A930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3E429943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1BFE7EE0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0D56218F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3C5217AF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46358E9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6256AF4B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328FC97B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5131497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6ADCA655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2DE602FE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6C0D8457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5D9AF50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1CB76F28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443001EF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00C714B4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7071FFED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60740C53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5F09C0D0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1436E4A6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18EE7C2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101E1228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6CAB332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7ED6B9A8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0E9D5559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44DFFFC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6064B4A8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12738DC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7613426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5BE7DA03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68A38884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64B93194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2FAFDDBF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08DAC035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4B0C603C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4D4B35E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5EF1E142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005B7F17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51274E3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6BF0DBBD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122AD3A1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1005859B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3EE3550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2423048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30431738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18DE89C0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2C574C64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2C1A504D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088767C0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25711244" w14:textId="4DA3F90E" w:rsidR="00D530A5" w:rsidRPr="001A1970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sequences,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functions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graphs."</w:t>
            </w:r>
          </w:p>
        </w:tc>
        <w:tc>
          <w:tcPr>
            <w:tcW w:w="4819" w:type="dxa"/>
          </w:tcPr>
          <w:p w14:paraId="43347A4B" w14:textId="77777777" w:rsidR="0097766F" w:rsidRPr="001A1970" w:rsidRDefault="0097766F" w:rsidP="0097766F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KS2: </w:t>
            </w:r>
          </w:p>
          <w:p w14:paraId="6C447F10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1ACB7F94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0BEA0080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2B21D6A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4C34F905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"AO2: demonstrate knowledge, understanding and skills in shape,</w:t>
            </w:r>
          </w:p>
          <w:p w14:paraId="274216AD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space and measures:</w:t>
            </w:r>
          </w:p>
          <w:p w14:paraId="2D6CA6DE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geometry</w:t>
            </w:r>
          </w:p>
          <w:p w14:paraId="3C4A5915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vectors and transformation geometry. "</w:t>
            </w:r>
          </w:p>
          <w:p w14:paraId="0B484A95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6F61E256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1934DD87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1C234742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10715FD5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68763256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197603C8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"AO3: demonstrate knowledge, understanding and skills in handling</w:t>
            </w:r>
          </w:p>
          <w:p w14:paraId="5F7BD0C4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data:</w:t>
            </w:r>
          </w:p>
          <w:p w14:paraId="2C04E97D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statistics</w:t>
            </w:r>
          </w:p>
          <w:p w14:paraId="537E24AB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probability."</w:t>
            </w:r>
          </w:p>
          <w:p w14:paraId="2951A02B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3B7A689D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620C2474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06DF52AE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40739D33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2E628C03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15A22ACE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"AO3: demonstrate knowledge, understanding and skills in handling</w:t>
            </w:r>
          </w:p>
          <w:p w14:paraId="0950E0E7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data:</w:t>
            </w:r>
          </w:p>
          <w:p w14:paraId="7ED0BD01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statistics</w:t>
            </w:r>
          </w:p>
          <w:p w14:paraId="28EFCD52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probability."</w:t>
            </w:r>
          </w:p>
          <w:p w14:paraId="12A4834E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"AO3: demonstrate knowledge, understanding and skills in handling</w:t>
            </w:r>
          </w:p>
          <w:p w14:paraId="4C4E09DF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data:</w:t>
            </w:r>
          </w:p>
          <w:p w14:paraId="68DD953D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statistics</w:t>
            </w:r>
          </w:p>
          <w:p w14:paraId="17B32E36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probability."</w:t>
            </w:r>
          </w:p>
          <w:p w14:paraId="50009A6B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"AO3: demonstrate knowledge, understanding and skills in handling</w:t>
            </w:r>
          </w:p>
          <w:p w14:paraId="4230DBAE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data:</w:t>
            </w:r>
          </w:p>
          <w:p w14:paraId="67686FC2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statistics</w:t>
            </w:r>
          </w:p>
          <w:p w14:paraId="2C94659B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probability."</w:t>
            </w:r>
          </w:p>
          <w:p w14:paraId="540AB603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39F56E9A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17A0D7CC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10837C63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1F479C30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193F9616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376D89C2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004AA10F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4A117E29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1C21D034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583D0C91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391800ED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sequences, functions and graphs."</w:t>
            </w:r>
          </w:p>
          <w:p w14:paraId="68E84D4D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"AO1: demonstrate knowledge, understanding and skills in number and algebra: </w:t>
            </w:r>
          </w:p>
          <w:p w14:paraId="32EA6E92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• numbers and the numbering system</w:t>
            </w:r>
          </w:p>
          <w:p w14:paraId="66A0AA95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calculations </w:t>
            </w:r>
          </w:p>
          <w:p w14:paraId="3CBD0446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solving numerical problems </w:t>
            </w:r>
          </w:p>
          <w:p w14:paraId="3A59CBB8" w14:textId="77777777" w:rsidR="00D7437B" w:rsidRPr="00D7437B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equations,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formulae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identities </w:t>
            </w:r>
          </w:p>
          <w:p w14:paraId="7DD67F69" w14:textId="21E926F7" w:rsidR="00F517F3" w:rsidRPr="001A1970" w:rsidRDefault="00D7437B" w:rsidP="00D7437B">
            <w:pPr>
              <w:widowControl w:val="0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• sequences, </w:t>
            </w:r>
            <w:proofErr w:type="gramStart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functions</w:t>
            </w:r>
            <w:proofErr w:type="gramEnd"/>
            <w:r w:rsidRPr="00D7437B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and graphs."</w:t>
            </w:r>
          </w:p>
        </w:tc>
      </w:tr>
      <w:tr w:rsidR="00792EC3" w:rsidRPr="007B62A8" w14:paraId="6F397BD5" w14:textId="77777777" w:rsidTr="00463D98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792EC3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6BB3963A" w14:textId="1598D5F7" w:rsidR="00F46E87" w:rsidRPr="007B62A8" w:rsidRDefault="00F46E87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5EA38832" w14:textId="77777777" w:rsidR="00984FE2" w:rsidRPr="00984FE2" w:rsidRDefault="00984FE2" w:rsidP="00984FE2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The specific value of maths as a required or preferred subject for </w:t>
            </w:r>
            <w:proofErr w:type="gramStart"/>
            <w:r w:rsidRPr="00984FE2">
              <w:rPr>
                <w:sz w:val="18"/>
                <w:szCs w:val="18"/>
              </w:rPr>
              <w:t>particular careers</w:t>
            </w:r>
            <w:proofErr w:type="gramEnd"/>
            <w:r w:rsidRPr="00984FE2">
              <w:rPr>
                <w:sz w:val="18"/>
                <w:szCs w:val="18"/>
              </w:rPr>
              <w:t xml:space="preserve">, e.g.: </w:t>
            </w:r>
          </w:p>
          <w:p w14:paraId="42ACBF41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Engineers and engineering technicians </w:t>
            </w:r>
          </w:p>
          <w:p w14:paraId="7831F953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Surveyors and surveying technicians  </w:t>
            </w:r>
          </w:p>
          <w:p w14:paraId="3036E7C1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Systems analysts </w:t>
            </w:r>
          </w:p>
          <w:p w14:paraId="4565A1AB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Actuaries </w:t>
            </w:r>
          </w:p>
          <w:p w14:paraId="66F7ECB1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Accountants </w:t>
            </w:r>
          </w:p>
          <w:p w14:paraId="50403EC2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Operational researchers </w:t>
            </w:r>
          </w:p>
          <w:p w14:paraId="4BB46700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Chemists </w:t>
            </w:r>
          </w:p>
          <w:p w14:paraId="3C98F29D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Software engineers </w:t>
            </w:r>
          </w:p>
          <w:p w14:paraId="39EE4E4A" w14:textId="7A8ADEF9" w:rsidR="00F25208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lang w:eastAsia="en-GB"/>
              </w:rPr>
            </w:pPr>
            <w:r w:rsidRPr="00984FE2">
              <w:rPr>
                <w:sz w:val="18"/>
                <w:szCs w:val="18"/>
              </w:rPr>
              <w:t>Statisticians</w:t>
            </w:r>
          </w:p>
        </w:tc>
        <w:tc>
          <w:tcPr>
            <w:tcW w:w="4820" w:type="dxa"/>
            <w:shd w:val="clear" w:color="auto" w:fill="auto"/>
          </w:tcPr>
          <w:p w14:paraId="3E7D258E" w14:textId="77777777" w:rsidR="00984FE2" w:rsidRPr="00984FE2" w:rsidRDefault="00984FE2" w:rsidP="00984FE2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The specific value of maths as a required or preferred subject for </w:t>
            </w:r>
            <w:proofErr w:type="gramStart"/>
            <w:r w:rsidRPr="00984FE2">
              <w:rPr>
                <w:sz w:val="18"/>
                <w:szCs w:val="18"/>
              </w:rPr>
              <w:t>particular careers</w:t>
            </w:r>
            <w:proofErr w:type="gramEnd"/>
            <w:r w:rsidRPr="00984FE2">
              <w:rPr>
                <w:sz w:val="18"/>
                <w:szCs w:val="18"/>
              </w:rPr>
              <w:t xml:space="preserve">, e.g.: </w:t>
            </w:r>
          </w:p>
          <w:p w14:paraId="62169E56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Engineers and engineering technicians </w:t>
            </w:r>
          </w:p>
          <w:p w14:paraId="18C53CB6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Surveyors and surveying technicians  </w:t>
            </w:r>
          </w:p>
          <w:p w14:paraId="61B6C212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Systems analysts </w:t>
            </w:r>
          </w:p>
          <w:p w14:paraId="3B400FF8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Actuaries </w:t>
            </w:r>
          </w:p>
          <w:p w14:paraId="23B1785C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Accountants </w:t>
            </w:r>
          </w:p>
          <w:p w14:paraId="6A631E09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Operational researchers </w:t>
            </w:r>
          </w:p>
          <w:p w14:paraId="77843D72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Chemists </w:t>
            </w:r>
          </w:p>
          <w:p w14:paraId="6EFDE37B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Software engineers </w:t>
            </w:r>
          </w:p>
          <w:p w14:paraId="063E34E5" w14:textId="005243C1" w:rsidR="00EA2054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>Statisticians</w:t>
            </w:r>
          </w:p>
        </w:tc>
        <w:tc>
          <w:tcPr>
            <w:tcW w:w="4819" w:type="dxa"/>
            <w:shd w:val="clear" w:color="auto" w:fill="auto"/>
          </w:tcPr>
          <w:p w14:paraId="210A6B5D" w14:textId="77777777" w:rsidR="00984FE2" w:rsidRPr="00984FE2" w:rsidRDefault="00984FE2" w:rsidP="00984FE2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984FE2">
              <w:rPr>
                <w:sz w:val="18"/>
                <w:szCs w:val="18"/>
              </w:rPr>
              <w:t xml:space="preserve">The specific value of maths as a required or preferred subject for </w:t>
            </w:r>
            <w:proofErr w:type="gramStart"/>
            <w:r w:rsidRPr="00984FE2">
              <w:rPr>
                <w:sz w:val="18"/>
                <w:szCs w:val="18"/>
              </w:rPr>
              <w:t>particular careers</w:t>
            </w:r>
            <w:proofErr w:type="gramEnd"/>
            <w:r w:rsidRPr="00984FE2">
              <w:rPr>
                <w:sz w:val="18"/>
                <w:szCs w:val="18"/>
              </w:rPr>
              <w:t xml:space="preserve">, e.g.: </w:t>
            </w:r>
          </w:p>
          <w:p w14:paraId="27C5826A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Engineers and engineering technicians </w:t>
            </w:r>
          </w:p>
          <w:p w14:paraId="5F28D5C0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Surveyors and surveying technicians  </w:t>
            </w:r>
          </w:p>
          <w:p w14:paraId="3C9D1E43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Systems analysts </w:t>
            </w:r>
          </w:p>
          <w:p w14:paraId="729EBF50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Actuaries </w:t>
            </w:r>
          </w:p>
          <w:p w14:paraId="4F1E4B22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Accountants </w:t>
            </w:r>
          </w:p>
          <w:p w14:paraId="583546EB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Operational researchers </w:t>
            </w:r>
          </w:p>
          <w:p w14:paraId="0EEE90F9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Chemists </w:t>
            </w:r>
          </w:p>
          <w:p w14:paraId="10B988F6" w14:textId="77777777" w:rsidR="00984FE2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 xml:space="preserve">Software engineers </w:t>
            </w:r>
          </w:p>
          <w:p w14:paraId="3E44C4AA" w14:textId="0D1F9C3D" w:rsidR="00792EC3" w:rsidRPr="00984FE2" w:rsidRDefault="00984FE2" w:rsidP="00984FE2">
            <w:pPr>
              <w:pStyle w:val="ListParagraph"/>
              <w:numPr>
                <w:ilvl w:val="0"/>
                <w:numId w:val="15"/>
              </w:numPr>
              <w:shd w:val="clear" w:color="auto" w:fill="FFFFFF"/>
              <w:outlineLvl w:val="1"/>
              <w:rPr>
                <w:rFonts w:ascii="Calibri Light" w:eastAsia="Times New Roman" w:hAnsi="Calibri Light" w:cs="Calibri Light"/>
                <w:color w:val="333333"/>
                <w:sz w:val="18"/>
                <w:szCs w:val="18"/>
                <w:lang w:eastAsia="en-GB"/>
              </w:rPr>
            </w:pPr>
            <w:r w:rsidRPr="00984FE2">
              <w:rPr>
                <w:sz w:val="18"/>
                <w:szCs w:val="18"/>
              </w:rPr>
              <w:t>Statisticians</w:t>
            </w:r>
          </w:p>
        </w:tc>
      </w:tr>
      <w:bookmarkEnd w:id="0"/>
      <w:tr w:rsidR="00984FE2" w:rsidRPr="007B62A8" w14:paraId="7D4A04F1" w14:textId="77777777" w:rsidTr="00463D98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984FE2" w:rsidRPr="007B62A8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536" w:type="dxa"/>
          </w:tcPr>
          <w:p w14:paraId="4675CD70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 – Non discrimination</w:t>
            </w:r>
          </w:p>
          <w:p w14:paraId="30570D71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12 – Respect for the views of the child</w:t>
            </w:r>
          </w:p>
          <w:p w14:paraId="16AB826B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13 – Freedom of expression</w:t>
            </w:r>
          </w:p>
          <w:p w14:paraId="4CB6F89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Article 14 – Freedom of thought, </w:t>
            </w:r>
            <w:proofErr w:type="gramStart"/>
            <w:r w:rsidRPr="00984FE2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226BC220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15 – Freedom of association</w:t>
            </w:r>
          </w:p>
          <w:p w14:paraId="1B03167A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16 – Right to privacy</w:t>
            </w:r>
          </w:p>
          <w:p w14:paraId="6081F96B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23 – Right to a full life if child with disability</w:t>
            </w:r>
          </w:p>
          <w:p w14:paraId="754A796D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28 – Right to education</w:t>
            </w:r>
          </w:p>
          <w:p w14:paraId="4521389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29 – Goals of education</w:t>
            </w:r>
          </w:p>
          <w:p w14:paraId="41AEE4BF" w14:textId="2684EB93" w:rsidR="00984FE2" w:rsidRPr="00984FE2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42 – Knowledge of rights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D34C54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 – Non discrimination</w:t>
            </w:r>
          </w:p>
          <w:p w14:paraId="5124301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12 – Respect for the views of the child</w:t>
            </w:r>
          </w:p>
          <w:p w14:paraId="7455F30A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13 – Freedom of expression</w:t>
            </w:r>
          </w:p>
          <w:p w14:paraId="2059BD2C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Article 14 – Freedom of thought, </w:t>
            </w:r>
            <w:proofErr w:type="gramStart"/>
            <w:r w:rsidRPr="00984FE2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2DBB0240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15 – Freedom of association</w:t>
            </w:r>
          </w:p>
          <w:p w14:paraId="7A520CBD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16 – Right to privacy</w:t>
            </w:r>
          </w:p>
          <w:p w14:paraId="38BFB76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23 – Right to a full life if child with disability</w:t>
            </w:r>
          </w:p>
          <w:p w14:paraId="2DEBD74A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28 – Right to education</w:t>
            </w:r>
          </w:p>
          <w:p w14:paraId="4BAF08CD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29 – Goals of education</w:t>
            </w:r>
          </w:p>
          <w:p w14:paraId="6D8A5730" w14:textId="14F16EED" w:rsidR="00984FE2" w:rsidRPr="001A1970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42 – Knowledge of rights</w:t>
            </w:r>
          </w:p>
        </w:tc>
        <w:tc>
          <w:tcPr>
            <w:tcW w:w="4819" w:type="dxa"/>
          </w:tcPr>
          <w:p w14:paraId="0A4FF78A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 – Non discrimination</w:t>
            </w:r>
          </w:p>
          <w:p w14:paraId="38D82F57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12 – Respect for the views of the child</w:t>
            </w:r>
          </w:p>
          <w:p w14:paraId="589CFE03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13 – Freedom of expression</w:t>
            </w:r>
          </w:p>
          <w:p w14:paraId="19C99807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Article 14 – Freedom of thought, </w:t>
            </w:r>
            <w:proofErr w:type="gramStart"/>
            <w:r w:rsidRPr="00984FE2">
              <w:rPr>
                <w:rFonts w:asciiTheme="majorHAnsi" w:hAnsiTheme="majorHAnsi" w:cs="Arial"/>
                <w:sz w:val="18"/>
                <w:szCs w:val="18"/>
              </w:rPr>
              <w:t>belief</w:t>
            </w:r>
            <w:proofErr w:type="gramEnd"/>
            <w:r w:rsidRPr="00984FE2">
              <w:rPr>
                <w:rFonts w:asciiTheme="majorHAnsi" w:hAnsiTheme="majorHAnsi" w:cs="Arial"/>
                <w:sz w:val="18"/>
                <w:szCs w:val="18"/>
              </w:rPr>
              <w:t xml:space="preserve"> and religion</w:t>
            </w:r>
          </w:p>
          <w:p w14:paraId="65D9FD56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15 – Freedom of association</w:t>
            </w:r>
          </w:p>
          <w:p w14:paraId="76D8C04E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16 – Right to privacy</w:t>
            </w:r>
          </w:p>
          <w:p w14:paraId="74565809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23 – Right to a full life if child with disability</w:t>
            </w:r>
          </w:p>
          <w:p w14:paraId="2F7C3A18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28 – Right to education</w:t>
            </w:r>
          </w:p>
          <w:p w14:paraId="4BCD890E" w14:textId="77777777" w:rsidR="00984FE2" w:rsidRPr="00984FE2" w:rsidRDefault="00984FE2" w:rsidP="00984FE2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29 – Goals of education</w:t>
            </w:r>
          </w:p>
          <w:p w14:paraId="6F3FCA8A" w14:textId="270FABDD" w:rsidR="00984FE2" w:rsidRPr="001A1970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hAnsiTheme="majorHAnsi" w:cs="Arial"/>
                <w:sz w:val="18"/>
                <w:szCs w:val="18"/>
              </w:rPr>
              <w:t>Article 42 – Knowledge of rights</w:t>
            </w:r>
          </w:p>
        </w:tc>
      </w:tr>
      <w:tr w:rsidR="00984FE2" w:rsidRPr="007B62A8" w14:paraId="47C9B9F0" w14:textId="77777777" w:rsidTr="00984FE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984FE2" w:rsidRPr="007B62A8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14175" w:type="dxa"/>
            <w:gridSpan w:val="3"/>
          </w:tcPr>
          <w:p w14:paraId="4DB85C49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Art &amp; Design and Maths</w:t>
            </w:r>
          </w:p>
          <w:p w14:paraId="34B94977" w14:textId="77777777" w:rsidR="00984FE2" w:rsidRPr="00984FE2" w:rsidRDefault="00984FE2" w:rsidP="00984FE2">
            <w:pPr>
              <w:numPr>
                <w:ilvl w:val="0"/>
                <w:numId w:val="6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Symmetrical art can be analysed and the number of lines of symmetry can be found. Also, the order of rotational symmetry can be studied.</w:t>
            </w:r>
          </w:p>
          <w:p w14:paraId="4344381E" w14:textId="77777777" w:rsidR="00984FE2" w:rsidRPr="00984FE2" w:rsidRDefault="00984FE2" w:rsidP="00984FE2">
            <w:pPr>
              <w:numPr>
                <w:ilvl w:val="0"/>
                <w:numId w:val="6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Ratio is used to mix paints. For example, to make purple, you mix 3 parts red to 7 parts blue.</w:t>
            </w:r>
          </w:p>
          <w:p w14:paraId="2B29A13B" w14:textId="77777777" w:rsidR="00984FE2" w:rsidRPr="00984FE2" w:rsidRDefault="00984FE2" w:rsidP="00984FE2">
            <w:pPr>
              <w:numPr>
                <w:ilvl w:val="0"/>
                <w:numId w:val="6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You could also explore the </w:t>
            </w:r>
            <w:hyperlink r:id="rId7" w:history="1">
              <w:r w:rsidRPr="00984FE2">
                <w:rPr>
                  <w:rFonts w:ascii="Calibri Light" w:eastAsia="Times New Roman" w:hAnsi="Calibri Light" w:cs="Calibri Light"/>
                  <w:sz w:val="18"/>
                  <w:szCs w:val="18"/>
                  <w:u w:val="single"/>
                  <w:lang w:eastAsia="en-GB"/>
                </w:rPr>
                <w:t>Art through mathematics</w:t>
              </w:r>
            </w:hyperlink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 section on the NCETM website.</w:t>
            </w:r>
          </w:p>
          <w:p w14:paraId="771B0F19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English and Maths</w:t>
            </w:r>
          </w:p>
          <w:p w14:paraId="641F3AE6" w14:textId="77777777" w:rsidR="00984FE2" w:rsidRPr="00984FE2" w:rsidRDefault="00984FE2" w:rsidP="00984FE2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Spelling mathematical vocabulary correctly and using it in the correct context.</w:t>
            </w:r>
          </w:p>
          <w:p w14:paraId="1D237D79" w14:textId="77777777" w:rsidR="00984FE2" w:rsidRPr="00984FE2" w:rsidRDefault="00984FE2" w:rsidP="00984FE2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Mastery of maths is advanced by children being able to explain their mathematical thinking to others and to justify methods and conclusions.</w:t>
            </w:r>
          </w:p>
          <w:p w14:paraId="75913E5B" w14:textId="77777777" w:rsidR="00984FE2" w:rsidRPr="00984FE2" w:rsidRDefault="00984FE2" w:rsidP="00984FE2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English skills can be used to clearly interpret and discuss results you get from collecting data in maths lessons.</w:t>
            </w:r>
          </w:p>
          <w:p w14:paraId="60121A20" w14:textId="77777777" w:rsidR="00984FE2" w:rsidRPr="00984FE2" w:rsidRDefault="00984FE2" w:rsidP="00984FE2">
            <w:pPr>
              <w:numPr>
                <w:ilvl w:val="0"/>
                <w:numId w:val="7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Solving comprehension questions from </w:t>
            </w:r>
            <w:hyperlink r:id="rId8" w:history="1">
              <w:r w:rsidRPr="00984FE2">
                <w:rPr>
                  <w:rFonts w:ascii="Calibri Light" w:eastAsia="Times New Roman" w:hAnsi="Calibri Light" w:cs="Calibri Light"/>
                  <w:sz w:val="18"/>
                  <w:szCs w:val="18"/>
                  <w:u w:val="single"/>
                  <w:lang w:eastAsia="en-GB"/>
                </w:rPr>
                <w:t>maths comprehension cards</w:t>
              </w:r>
            </w:hyperlink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.</w:t>
            </w:r>
          </w:p>
          <w:p w14:paraId="31811B36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Design &amp; Technology and Maths</w:t>
            </w:r>
          </w:p>
          <w:p w14:paraId="40FDBB70" w14:textId="77777777" w:rsidR="00984FE2" w:rsidRPr="00984FE2" w:rsidRDefault="00984FE2" w:rsidP="00984FE2">
            <w:pPr>
              <w:numPr>
                <w:ilvl w:val="0"/>
                <w:numId w:val="8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Reading Scales.</w:t>
            </w:r>
          </w:p>
          <w:p w14:paraId="610C82D7" w14:textId="77777777" w:rsidR="00984FE2" w:rsidRPr="00984FE2" w:rsidRDefault="00984FE2" w:rsidP="00984FE2">
            <w:pPr>
              <w:numPr>
                <w:ilvl w:val="0"/>
                <w:numId w:val="8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Measuring ingredients and working out proportions.</w:t>
            </w:r>
          </w:p>
          <w:p w14:paraId="38045310" w14:textId="77777777" w:rsidR="00984FE2" w:rsidRPr="00984FE2" w:rsidRDefault="00984FE2" w:rsidP="00984FE2">
            <w:pPr>
              <w:numPr>
                <w:ilvl w:val="0"/>
                <w:numId w:val="8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Using ratios in recipes.</w:t>
            </w:r>
          </w:p>
          <w:p w14:paraId="18F3684D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Geography and Maths</w:t>
            </w:r>
          </w:p>
          <w:p w14:paraId="4CF5237F" w14:textId="77777777" w:rsidR="00984FE2" w:rsidRPr="00984FE2" w:rsidRDefault="00984FE2" w:rsidP="00984FE2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Collecting and representing data from field trips or for weather investigations.</w:t>
            </w:r>
          </w:p>
          <w:p w14:paraId="735F8A96" w14:textId="77777777" w:rsidR="00984FE2" w:rsidRPr="00984FE2" w:rsidRDefault="00984FE2" w:rsidP="00984FE2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Grid references and coordinates.</w:t>
            </w:r>
          </w:p>
          <w:p w14:paraId="33549953" w14:textId="77777777" w:rsidR="00984FE2" w:rsidRPr="00984FE2" w:rsidRDefault="00984FE2" w:rsidP="00984FE2">
            <w:pPr>
              <w:numPr>
                <w:ilvl w:val="0"/>
                <w:numId w:val="9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Using scales on Ordnance Survey maps to establish the correct distance between two points. </w:t>
            </w:r>
          </w:p>
          <w:p w14:paraId="4F8AD04E" w14:textId="77777777" w:rsidR="00984FE2" w:rsidRPr="00984FE2" w:rsidRDefault="00984FE2" w:rsidP="00984FE2">
            <w:p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Computing and Maths</w:t>
            </w:r>
          </w:p>
          <w:p w14:paraId="1B66214C" w14:textId="77777777" w:rsidR="00984FE2" w:rsidRPr="00984FE2" w:rsidRDefault="00984FE2" w:rsidP="00984FE2">
            <w:pPr>
              <w:numPr>
                <w:ilvl w:val="0"/>
                <w:numId w:val="10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Angles and direction which can be drawn and measured using floor robots and apps too.</w:t>
            </w:r>
          </w:p>
          <w:p w14:paraId="381815BC" w14:textId="77777777" w:rsidR="00984FE2" w:rsidRPr="00984FE2" w:rsidRDefault="00984FE2" w:rsidP="00984FE2">
            <w:pPr>
              <w:numPr>
                <w:ilvl w:val="0"/>
                <w:numId w:val="10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Information can be represented in Excel and calculations using formula can be done on the data here too.</w:t>
            </w:r>
          </w:p>
          <w:p w14:paraId="0F069ED2" w14:textId="77777777" w:rsidR="00984FE2" w:rsidRPr="00984FE2" w:rsidRDefault="00984FE2" w:rsidP="00984FE2">
            <w:pPr>
              <w:numPr>
                <w:ilvl w:val="0"/>
                <w:numId w:val="10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Logic is used in programming as is problem solving.</w:t>
            </w:r>
          </w:p>
          <w:p w14:paraId="0C07A9BF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Foreign Languages and Maths</w:t>
            </w:r>
          </w:p>
          <w:p w14:paraId="1D07B47E" w14:textId="77777777" w:rsidR="00984FE2" w:rsidRPr="00984FE2" w:rsidRDefault="00984FE2" w:rsidP="00984FE2">
            <w:pPr>
              <w:numPr>
                <w:ilvl w:val="0"/>
                <w:numId w:val="11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Numbers can be used to do sums or times tables in French.</w:t>
            </w:r>
          </w:p>
          <w:p w14:paraId="4BA410C7" w14:textId="77777777" w:rsidR="00984FE2" w:rsidRPr="00984FE2" w:rsidRDefault="00984FE2" w:rsidP="00984FE2">
            <w:pPr>
              <w:numPr>
                <w:ilvl w:val="0"/>
                <w:numId w:val="11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Asking what </w:t>
            </w:r>
            <w:proofErr w:type="gramStart"/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time</w:t>
            </w:r>
            <w:proofErr w:type="gramEnd"/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it is in another language.</w:t>
            </w:r>
          </w:p>
          <w:p w14:paraId="70247550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Music and Maths</w:t>
            </w:r>
          </w:p>
          <w:p w14:paraId="41B561CB" w14:textId="77777777" w:rsidR="00984FE2" w:rsidRPr="00984FE2" w:rsidRDefault="00984FE2" w:rsidP="00984FE2">
            <w:pPr>
              <w:numPr>
                <w:ilvl w:val="0"/>
                <w:numId w:val="12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Time and speed can be represented by tempo which is the number of beats per minute (BPM).</w:t>
            </w:r>
          </w:p>
          <w:p w14:paraId="66757997" w14:textId="77777777" w:rsidR="00984FE2" w:rsidRPr="00984FE2" w:rsidRDefault="00984FE2" w:rsidP="00984FE2">
            <w:pPr>
              <w:numPr>
                <w:ilvl w:val="0"/>
                <w:numId w:val="12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Equivalent fractions can be shown using musical notation where a different type of note is worth a different fraction of a whole beat.</w:t>
            </w:r>
          </w:p>
          <w:p w14:paraId="43C695AF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History and Maths</w:t>
            </w:r>
          </w:p>
          <w:p w14:paraId="34692FC5" w14:textId="77777777" w:rsidR="00984FE2" w:rsidRPr="00984FE2" w:rsidRDefault="00984FE2" w:rsidP="00984FE2">
            <w:pPr>
              <w:numPr>
                <w:ilvl w:val="0"/>
                <w:numId w:val="13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Historical timelines can be used as a basis for finding the difference in dates.</w:t>
            </w:r>
          </w:p>
          <w:p w14:paraId="425A6033" w14:textId="77777777" w:rsidR="00984FE2" w:rsidRPr="00984FE2" w:rsidRDefault="00984FE2" w:rsidP="00984FE2">
            <w:pPr>
              <w:numPr>
                <w:ilvl w:val="0"/>
                <w:numId w:val="13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Historical dates can also be utilised for sequencing events.</w:t>
            </w:r>
          </w:p>
          <w:p w14:paraId="202950E2" w14:textId="77777777" w:rsidR="00984FE2" w:rsidRPr="00984FE2" w:rsidRDefault="00984FE2" w:rsidP="00984FE2">
            <w:pPr>
              <w:shd w:val="clear" w:color="auto" w:fill="FFFFFF"/>
              <w:outlineLvl w:val="1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Physical Education and Maths</w:t>
            </w:r>
          </w:p>
          <w:p w14:paraId="6C10A519" w14:textId="77777777" w:rsidR="00984FE2" w:rsidRPr="00984FE2" w:rsidRDefault="00984FE2" w:rsidP="00984FE2">
            <w:pPr>
              <w:numPr>
                <w:ilvl w:val="0"/>
                <w:numId w:val="14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Time, distance and speed of races can be incorporated into </w:t>
            </w:r>
            <w:proofErr w:type="gramStart"/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Maths</w:t>
            </w:r>
            <w:proofErr w:type="gramEnd"/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 sessions to enable children </w:t>
            </w:r>
          </w:p>
          <w:p w14:paraId="559A965C" w14:textId="77777777" w:rsidR="00984FE2" w:rsidRPr="00984FE2" w:rsidRDefault="00984FE2" w:rsidP="00984FE2">
            <w:pPr>
              <w:numPr>
                <w:ilvl w:val="0"/>
                <w:numId w:val="14"/>
              </w:numPr>
              <w:shd w:val="clear" w:color="auto" w:fill="FFFFFF"/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 w:rsidRPr="00984FE2"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>Averages (Mean, Mode and Median) can be used to assess and athlete’s performance.</w:t>
            </w:r>
          </w:p>
          <w:p w14:paraId="3001954F" w14:textId="1FB0C6C6" w:rsidR="00984FE2" w:rsidRPr="00984FE2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FE2" w:rsidRPr="007B62A8" w14:paraId="148AAB44" w14:textId="77777777" w:rsidTr="00984FE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984FE2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websites/videos</w:t>
            </w:r>
          </w:p>
        </w:tc>
        <w:tc>
          <w:tcPr>
            <w:tcW w:w="14175" w:type="dxa"/>
            <w:gridSpan w:val="3"/>
          </w:tcPr>
          <w:p w14:paraId="2A3B8B37" w14:textId="0AC9E0CF" w:rsidR="00984FE2" w:rsidRDefault="00A17201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3A05ED" w:rsidRPr="00D70E2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https://www.bbc.co.uk/bitesize/subjects/zqhs34j</w:t>
              </w:r>
            </w:hyperlink>
          </w:p>
          <w:p w14:paraId="1B058D57" w14:textId="77777777" w:rsidR="003A05ED" w:rsidRDefault="003A05ED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E2EFF9" w14:textId="4FBDA0D7" w:rsidR="003A05ED" w:rsidRDefault="00A17201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3A05ED" w:rsidRPr="00D70E2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https://hegartymaths.com/</w:t>
              </w:r>
            </w:hyperlink>
          </w:p>
          <w:p w14:paraId="29CA980A" w14:textId="77777777" w:rsidR="003A05ED" w:rsidRDefault="003A05ED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5EF285" w14:textId="250B09C2" w:rsidR="003A05ED" w:rsidRPr="001A1970" w:rsidRDefault="00A17201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="003A05ED" w:rsidRPr="00D70E2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https://corbettmaths.com/</w:t>
              </w:r>
            </w:hyperlink>
          </w:p>
        </w:tc>
      </w:tr>
      <w:tr w:rsidR="00984FE2" w:rsidRPr="007B62A8" w14:paraId="7A1CC525" w14:textId="77777777" w:rsidTr="00984FE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984FE2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14175" w:type="dxa"/>
            <w:gridSpan w:val="3"/>
          </w:tcPr>
          <w:p w14:paraId="2A84AE66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Research the history of algebra. Where did the word algebra derive from? Which civilizations introduced algebra? Who were the early pioneers?</w:t>
            </w:r>
          </w:p>
          <w:p w14:paraId="35A32760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Investigate Egyptian fractions. What are they? How did they work? Are they still used anywhere today? What are the benefits and drawbacks of Egyptian fractions?</w:t>
            </w:r>
          </w:p>
          <w:p w14:paraId="14457606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 xml:space="preserve">Investigate misleading graphs. Where can they be seen? Why would the media use misleading charts or graphs?                                                           </w:t>
            </w:r>
          </w:p>
          <w:p w14:paraId="6A0FD813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Research Greek Mathematician Pythagoras of Samos. Investigate some careers where Pythagoras and trigonometry skills could be required.</w:t>
            </w:r>
          </w:p>
          <w:p w14:paraId="463F9EA7" w14:textId="77777777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Investigate where averages are used in everyday life. What jobs might require you to work with averages.</w:t>
            </w:r>
          </w:p>
          <w:p w14:paraId="1312BD56" w14:textId="6805EC1A" w:rsidR="00984FE2" w:rsidRPr="00984FE2" w:rsidRDefault="00984FE2" w:rsidP="00984FE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84FE2">
              <w:rPr>
                <w:rFonts w:asciiTheme="majorHAnsi" w:eastAsia="Times New Roman" w:hAnsiTheme="majorHAnsi" w:cs="Arial"/>
                <w:szCs w:val="21"/>
                <w:lang w:eastAsia="en-GB"/>
              </w:rPr>
              <w:t>Investigate quadratic graphs. What do they look like? Where might quadratic graphs be used in real life?</w:t>
            </w:r>
          </w:p>
          <w:p w14:paraId="4A820C40" w14:textId="33A3080A" w:rsidR="00984FE2" w:rsidRPr="001A1970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84FE2" w:rsidRPr="007B62A8" w14:paraId="7868FC59" w14:textId="77777777" w:rsidTr="00463D98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984FE2" w:rsidRPr="007B62A8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Literacy   Programme</w:t>
            </w:r>
          </w:p>
        </w:tc>
        <w:tc>
          <w:tcPr>
            <w:tcW w:w="4536" w:type="dxa"/>
          </w:tcPr>
          <w:p w14:paraId="1014A74E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40C2085C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697B8A7A" w14:textId="60ABA428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BB0E992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7AA6E5C9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73A06CCD" w14:textId="0AA5186E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984FE2" w:rsidRPr="001A1970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E5F664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F2A0737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Guided practice/model answers</w:t>
            </w:r>
          </w:p>
          <w:p w14:paraId="08EC9EFB" w14:textId="77777777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169F4D66" w14:textId="2657949A" w:rsidR="00984FE2" w:rsidRPr="001A1970" w:rsidRDefault="00984FE2" w:rsidP="00984F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1970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</w:tc>
      </w:tr>
      <w:tr w:rsidR="00984FE2" w:rsidRPr="007B62A8" w14:paraId="06FB5A77" w14:textId="77777777" w:rsidTr="00463D98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984FE2" w:rsidRPr="007B62A8" w:rsidRDefault="00984FE2" w:rsidP="00984FE2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536" w:type="dxa"/>
          </w:tcPr>
          <w:p w14:paraId="3C11D64C" w14:textId="77777777" w:rsidR="00984FE2" w:rsidRDefault="00984FE2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Hegarty maths tasks</w:t>
            </w:r>
          </w:p>
          <w:p w14:paraId="3034985A" w14:textId="27E4095A" w:rsidR="000E7D47" w:rsidRPr="001A1970" w:rsidRDefault="000E7D47" w:rsidP="00984F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Knowledge organisers </w:t>
            </w:r>
          </w:p>
        </w:tc>
        <w:tc>
          <w:tcPr>
            <w:tcW w:w="4820" w:type="dxa"/>
          </w:tcPr>
          <w:p w14:paraId="3FE76B49" w14:textId="77777777" w:rsidR="00984FE2" w:rsidRDefault="00984FE2" w:rsidP="00984FE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Hegarty maths tasks </w:t>
            </w:r>
          </w:p>
          <w:p w14:paraId="6CC58457" w14:textId="0563DACF" w:rsidR="000E7D47" w:rsidRPr="001A1970" w:rsidRDefault="000E7D47" w:rsidP="00984FE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Knowledge organisers</w:t>
            </w:r>
          </w:p>
        </w:tc>
        <w:tc>
          <w:tcPr>
            <w:tcW w:w="4819" w:type="dxa"/>
          </w:tcPr>
          <w:p w14:paraId="0E779A21" w14:textId="77777777" w:rsidR="00984FE2" w:rsidRDefault="00984FE2" w:rsidP="00984FE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E36C2">
              <w:rPr>
                <w:rFonts w:asciiTheme="majorHAnsi" w:hAnsiTheme="majorHAnsi" w:cstheme="majorHAnsi"/>
                <w:bCs/>
                <w:sz w:val="18"/>
                <w:szCs w:val="18"/>
              </w:rPr>
              <w:t>Hegarty maths tasks</w:t>
            </w:r>
          </w:p>
          <w:p w14:paraId="70730107" w14:textId="67D8D2B1" w:rsidR="000E7D47" w:rsidRPr="006E36C2" w:rsidRDefault="000E7D47" w:rsidP="00984FE2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Knowledge organisers 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4874" w14:textId="77777777" w:rsidR="00A17201" w:rsidRDefault="00A17201" w:rsidP="005D3071">
      <w:pPr>
        <w:spacing w:after="0" w:line="240" w:lineRule="auto"/>
      </w:pPr>
      <w:r>
        <w:separator/>
      </w:r>
    </w:p>
  </w:endnote>
  <w:endnote w:type="continuationSeparator" w:id="0">
    <w:p w14:paraId="178EB6AC" w14:textId="77777777" w:rsidR="00A17201" w:rsidRDefault="00A17201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BA29" w14:textId="77777777" w:rsidR="00A17201" w:rsidRDefault="00A17201" w:rsidP="005D3071">
      <w:pPr>
        <w:spacing w:after="0" w:line="240" w:lineRule="auto"/>
      </w:pPr>
      <w:r>
        <w:separator/>
      </w:r>
    </w:p>
  </w:footnote>
  <w:footnote w:type="continuationSeparator" w:id="0">
    <w:p w14:paraId="39CCE980" w14:textId="77777777" w:rsidR="00A17201" w:rsidRDefault="00A17201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314"/>
    <w:multiLevelType w:val="hybridMultilevel"/>
    <w:tmpl w:val="5212EE90"/>
    <w:lvl w:ilvl="0" w:tplc="9B0A7C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346"/>
    <w:multiLevelType w:val="multilevel"/>
    <w:tmpl w:val="324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75316"/>
    <w:multiLevelType w:val="multilevel"/>
    <w:tmpl w:val="5AF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D074C"/>
    <w:multiLevelType w:val="hybridMultilevel"/>
    <w:tmpl w:val="48CE6DB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FB02FC7"/>
    <w:multiLevelType w:val="hybridMultilevel"/>
    <w:tmpl w:val="41782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A2FCC"/>
    <w:multiLevelType w:val="hybridMultilevel"/>
    <w:tmpl w:val="D456812C"/>
    <w:lvl w:ilvl="0" w:tplc="24226E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66F2B"/>
    <w:multiLevelType w:val="multilevel"/>
    <w:tmpl w:val="15E6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663A1"/>
    <w:multiLevelType w:val="multilevel"/>
    <w:tmpl w:val="ADC4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A2E0F"/>
    <w:multiLevelType w:val="multilevel"/>
    <w:tmpl w:val="77F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819DB"/>
    <w:multiLevelType w:val="multilevel"/>
    <w:tmpl w:val="42C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C71DC"/>
    <w:multiLevelType w:val="multilevel"/>
    <w:tmpl w:val="B97A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A09BE"/>
    <w:multiLevelType w:val="multilevel"/>
    <w:tmpl w:val="E94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7375CC"/>
    <w:multiLevelType w:val="hybridMultilevel"/>
    <w:tmpl w:val="4178226A"/>
    <w:lvl w:ilvl="0" w:tplc="E5F234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BB4BBA"/>
    <w:multiLevelType w:val="hybridMultilevel"/>
    <w:tmpl w:val="B9C8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85C14"/>
    <w:multiLevelType w:val="multilevel"/>
    <w:tmpl w:val="5E9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3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34055"/>
    <w:rsid w:val="00074FE5"/>
    <w:rsid w:val="00075D4E"/>
    <w:rsid w:val="000C49A6"/>
    <w:rsid w:val="000E7D47"/>
    <w:rsid w:val="000F7E95"/>
    <w:rsid w:val="00102035"/>
    <w:rsid w:val="001103AA"/>
    <w:rsid w:val="0011041B"/>
    <w:rsid w:val="0012440F"/>
    <w:rsid w:val="0014633F"/>
    <w:rsid w:val="00153A6D"/>
    <w:rsid w:val="00160B3D"/>
    <w:rsid w:val="00187366"/>
    <w:rsid w:val="00193DF1"/>
    <w:rsid w:val="001A1970"/>
    <w:rsid w:val="001E2101"/>
    <w:rsid w:val="001F3640"/>
    <w:rsid w:val="001F56F7"/>
    <w:rsid w:val="002132ED"/>
    <w:rsid w:val="0023248A"/>
    <w:rsid w:val="00270E44"/>
    <w:rsid w:val="002837DE"/>
    <w:rsid w:val="002E78AE"/>
    <w:rsid w:val="002F2663"/>
    <w:rsid w:val="00312CF3"/>
    <w:rsid w:val="003405E4"/>
    <w:rsid w:val="003543B2"/>
    <w:rsid w:val="00364BFD"/>
    <w:rsid w:val="0039480E"/>
    <w:rsid w:val="003A05ED"/>
    <w:rsid w:val="00401933"/>
    <w:rsid w:val="0043477E"/>
    <w:rsid w:val="004353B7"/>
    <w:rsid w:val="004521BE"/>
    <w:rsid w:val="004575EB"/>
    <w:rsid w:val="00463D98"/>
    <w:rsid w:val="00465147"/>
    <w:rsid w:val="00476D79"/>
    <w:rsid w:val="0048237D"/>
    <w:rsid w:val="00487279"/>
    <w:rsid w:val="004A1CF8"/>
    <w:rsid w:val="004A4CB0"/>
    <w:rsid w:val="004A7C02"/>
    <w:rsid w:val="004E22E5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5EE3"/>
    <w:rsid w:val="0067766B"/>
    <w:rsid w:val="006906BB"/>
    <w:rsid w:val="006941D1"/>
    <w:rsid w:val="00694492"/>
    <w:rsid w:val="006B6192"/>
    <w:rsid w:val="006E36C2"/>
    <w:rsid w:val="006E5B54"/>
    <w:rsid w:val="006F0AF7"/>
    <w:rsid w:val="006F1B79"/>
    <w:rsid w:val="00706031"/>
    <w:rsid w:val="00711285"/>
    <w:rsid w:val="0072046E"/>
    <w:rsid w:val="007211E6"/>
    <w:rsid w:val="007900A9"/>
    <w:rsid w:val="00792EC3"/>
    <w:rsid w:val="007A10F9"/>
    <w:rsid w:val="007B62A8"/>
    <w:rsid w:val="007C65EF"/>
    <w:rsid w:val="007F2B33"/>
    <w:rsid w:val="007F5438"/>
    <w:rsid w:val="00802CAE"/>
    <w:rsid w:val="0082196E"/>
    <w:rsid w:val="00846679"/>
    <w:rsid w:val="00856C4D"/>
    <w:rsid w:val="00863D99"/>
    <w:rsid w:val="00880E70"/>
    <w:rsid w:val="0089597A"/>
    <w:rsid w:val="008A57BE"/>
    <w:rsid w:val="008B4074"/>
    <w:rsid w:val="008B58D2"/>
    <w:rsid w:val="008B58EA"/>
    <w:rsid w:val="008D3269"/>
    <w:rsid w:val="008F0EB7"/>
    <w:rsid w:val="008F4E22"/>
    <w:rsid w:val="009261A3"/>
    <w:rsid w:val="009634F1"/>
    <w:rsid w:val="0097766F"/>
    <w:rsid w:val="00983EEB"/>
    <w:rsid w:val="00984FE2"/>
    <w:rsid w:val="009A0FE9"/>
    <w:rsid w:val="009A5C73"/>
    <w:rsid w:val="009D22C5"/>
    <w:rsid w:val="009F3621"/>
    <w:rsid w:val="00A0000A"/>
    <w:rsid w:val="00A17201"/>
    <w:rsid w:val="00A35F6F"/>
    <w:rsid w:val="00A619DC"/>
    <w:rsid w:val="00A71CDE"/>
    <w:rsid w:val="00A73769"/>
    <w:rsid w:val="00A84BBD"/>
    <w:rsid w:val="00AB2140"/>
    <w:rsid w:val="00AD2ACB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4707A"/>
    <w:rsid w:val="00C542E4"/>
    <w:rsid w:val="00C91963"/>
    <w:rsid w:val="00C93813"/>
    <w:rsid w:val="00C948CA"/>
    <w:rsid w:val="00CB2A6B"/>
    <w:rsid w:val="00CB3806"/>
    <w:rsid w:val="00CF41CB"/>
    <w:rsid w:val="00D03071"/>
    <w:rsid w:val="00D1032D"/>
    <w:rsid w:val="00D13CC2"/>
    <w:rsid w:val="00D24465"/>
    <w:rsid w:val="00D530A5"/>
    <w:rsid w:val="00D7437B"/>
    <w:rsid w:val="00D952FD"/>
    <w:rsid w:val="00DA5FC5"/>
    <w:rsid w:val="00DE0126"/>
    <w:rsid w:val="00DE1614"/>
    <w:rsid w:val="00E01FCC"/>
    <w:rsid w:val="00E05036"/>
    <w:rsid w:val="00E1278E"/>
    <w:rsid w:val="00E27DD2"/>
    <w:rsid w:val="00E3124A"/>
    <w:rsid w:val="00E40919"/>
    <w:rsid w:val="00E905FA"/>
    <w:rsid w:val="00EA2054"/>
    <w:rsid w:val="00F06587"/>
    <w:rsid w:val="00F10FF6"/>
    <w:rsid w:val="00F25208"/>
    <w:rsid w:val="00F46E87"/>
    <w:rsid w:val="00F517F3"/>
    <w:rsid w:val="00F620D6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resources.co.uk/category/products/maths-comprehension-cards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etm.org.uk/resources/384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bettmath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egartymath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qhs3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Elnaz Javaheri</cp:lastModifiedBy>
  <cp:revision>2</cp:revision>
  <cp:lastPrinted>2017-06-14T11:36:00Z</cp:lastPrinted>
  <dcterms:created xsi:type="dcterms:W3CDTF">2022-07-21T08:14:00Z</dcterms:created>
  <dcterms:modified xsi:type="dcterms:W3CDTF">2022-07-21T08:14:00Z</dcterms:modified>
</cp:coreProperties>
</file>